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DFF37" w14:textId="77777777" w:rsidR="00AB35C8" w:rsidRDefault="00AB35C8" w:rsidP="00CA17FC">
      <w:pPr>
        <w:pStyle w:val="Ttulo2"/>
      </w:pPr>
    </w:p>
    <w:p w14:paraId="7CDEF56E" w14:textId="74DE108E" w:rsidR="00366E6F" w:rsidRDefault="00366E6F" w:rsidP="00CA17FC">
      <w:pPr>
        <w:pStyle w:val="Ttulo2"/>
      </w:pPr>
      <w:r w:rsidRPr="00366E6F">
        <w:rPr>
          <w:noProof/>
        </w:rPr>
        <mc:AlternateContent>
          <mc:Choice Requires="wps">
            <w:drawing>
              <wp:anchor distT="0" distB="0" distL="114300" distR="114300" simplePos="0" relativeHeight="251658240" behindDoc="0" locked="1" layoutInCell="1" allowOverlap="0" wp14:anchorId="035FDC2D" wp14:editId="53FA0186">
                <wp:simplePos x="0" y="0"/>
                <wp:positionH relativeFrom="page">
                  <wp:posOffset>5524500</wp:posOffset>
                </wp:positionH>
                <wp:positionV relativeFrom="page">
                  <wp:posOffset>2238375</wp:posOffset>
                </wp:positionV>
                <wp:extent cx="2571750" cy="197040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571750" cy="1970405"/>
                        </a:xfrm>
                        <a:prstGeom prst="rect">
                          <a:avLst/>
                        </a:prstGeom>
                        <a:noFill/>
                        <a:ln w="6350">
                          <a:noFill/>
                        </a:ln>
                      </wps:spPr>
                      <wps:txbx>
                        <w:txbxContent>
                          <w:p w14:paraId="250D8D5A" w14:textId="44B34E4A" w:rsidR="002776AA" w:rsidRPr="00020FBF" w:rsidRDefault="002776AA" w:rsidP="00AC0DB7">
                            <w:pPr>
                              <w:pStyle w:val="RaznReseaHumphreys"/>
                              <w:rPr>
                                <w:rFonts w:ascii="Verdana" w:eastAsia="Times New Roman" w:hAnsi="Verdana" w:cs="Times New Roman"/>
                                <w:sz w:val="20"/>
                                <w:szCs w:val="20"/>
                                <w:lang w:val="es-ES" w:eastAsia="es-ES"/>
                              </w:rPr>
                            </w:pPr>
                          </w:p>
                          <w:p w14:paraId="7A34C0C2" w14:textId="77777777" w:rsidR="002776AA" w:rsidRPr="007D343C" w:rsidRDefault="002776AA" w:rsidP="00CA17FC">
                            <w:pPr>
                              <w:pStyle w:val="RaznReseaHumphreys"/>
                            </w:pPr>
                          </w:p>
                          <w:p w14:paraId="06E8E890" w14:textId="77777777" w:rsidR="002776AA" w:rsidRPr="007D343C" w:rsidRDefault="002776AA" w:rsidP="00CA17FC">
                            <w:pPr>
                              <w:pStyle w:val="RaznReseaHumphrey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5FDC2D" id="_x0000_t202" coordsize="21600,21600" o:spt="202" path="m,l,21600r21600,l21600,xe">
                <v:stroke joinstyle="miter"/>
                <v:path gradientshapeok="t" o:connecttype="rect"/>
              </v:shapetype>
              <v:shape id="Cuadro de texto 5" o:spid="_x0000_s1026" type="#_x0000_t202" style="position:absolute;left:0;text-align:left;margin-left:435pt;margin-top:176.25pt;width:202.5pt;height:155.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" o:allowoverlap="f" filled="f" stroked="f" strokeweight=".5pt">
                <v:textbox>
                  <w:txbxContent>
                    <w:p w14:paraId="250D8D5A" w14:textId="44B34E4A" w:rsidR="002776AA" w:rsidRPr="00020FBF" w:rsidRDefault="002776AA" w:rsidP="00AC0DB7">
                      <w:pPr>
                        <w:pStyle w:val="RaznReseaHumphreys"/>
                        <w:rPr>
                          <w:rFonts w:ascii="Verdana" w:eastAsia="Times New Roman" w:hAnsi="Verdana" w:cs="Times New Roman"/>
                          <w:sz w:val="20"/>
                          <w:szCs w:val="20"/>
                          <w:lang w:val="es-ES" w:eastAsia="es-ES"/>
                        </w:rPr>
                      </w:pPr>
                    </w:p>
                    <w:p w14:paraId="7A34C0C2" w14:textId="77777777" w:rsidR="002776AA" w:rsidRPr="007D343C" w:rsidRDefault="002776AA" w:rsidP="00CA17FC">
                      <w:pPr>
                        <w:pStyle w:val="RaznReseaHumphreys"/>
                      </w:pPr>
                    </w:p>
                    <w:p w14:paraId="06E8E890" w14:textId="77777777" w:rsidR="002776AA" w:rsidRPr="007D343C" w:rsidRDefault="002776AA" w:rsidP="00CA17FC">
                      <w:pPr>
                        <w:pStyle w:val="RaznReseaHumphreys"/>
                      </w:pPr>
                    </w:p>
                  </w:txbxContent>
                </v:textbox>
                <w10:wrap anchorx="page" anchory="page"/>
                <w10:anchorlock/>
              </v:shape>
            </w:pict>
          </mc:Fallback>
        </mc:AlternateContent>
      </w:r>
      <w:r w:rsidR="006822F6" w:rsidRPr="00366E6F">
        <w:rPr>
          <w:noProof/>
        </w:rPr>
        <mc:AlternateContent>
          <mc:Choice Requires="wps">
            <w:drawing>
              <wp:anchor distT="0" distB="0" distL="114300" distR="114300" simplePos="0" relativeHeight="251658242" behindDoc="0" locked="1" layoutInCell="1" allowOverlap="0" wp14:anchorId="3F521AD1" wp14:editId="7D6C14A9">
                <wp:simplePos x="0" y="0"/>
                <wp:positionH relativeFrom="page">
                  <wp:posOffset>5577840</wp:posOffset>
                </wp:positionH>
                <wp:positionV relativeFrom="page">
                  <wp:posOffset>8008620</wp:posOffset>
                </wp:positionV>
                <wp:extent cx="2266950" cy="82296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2266950" cy="822960"/>
                        </a:xfrm>
                        <a:prstGeom prst="rect">
                          <a:avLst/>
                        </a:prstGeom>
                        <a:noFill/>
                        <a:ln w="6350">
                          <a:noFill/>
                        </a:ln>
                      </wps:spPr>
                      <wps:txbx>
                        <w:txbxContent>
                          <w:p w14:paraId="562F1BA7" w14:textId="2C664CC4" w:rsidR="001B5FE9" w:rsidRDefault="001B5FE9" w:rsidP="00366E6F">
                            <w:pPr>
                              <w:rPr>
                                <w:color w:val="FFFFFF" w:themeColor="background1"/>
                                <w:lang w:val="es-ES"/>
                              </w:rPr>
                            </w:pPr>
                            <w:r>
                              <w:rPr>
                                <w:color w:val="FFFFFF" w:themeColor="background1"/>
                                <w:lang w:val="es-ES"/>
                              </w:rPr>
                              <w:t>FECHA</w:t>
                            </w:r>
                          </w:p>
                          <w:p w14:paraId="06F20357" w14:textId="2BA0E2F2" w:rsidR="00FE14F2" w:rsidRPr="00B03E32" w:rsidRDefault="00FE14F2" w:rsidP="00366E6F">
                            <w:pPr>
                              <w:rPr>
                                <w:color w:val="FFFFFF" w:themeColor="background1"/>
                                <w:lang w:val="es-ES"/>
                              </w:rPr>
                            </w:pPr>
                            <w:r w:rsidRPr="00FE14F2">
                              <w:rPr>
                                <w:color w:val="FFFFFF" w:themeColor="background1"/>
                                <w:lang w:val="es-ES"/>
                              </w:rPr>
                              <w:t>Agosto 202</w:t>
                            </w:r>
                            <w:r w:rsidR="00C36510">
                              <w:rPr>
                                <w:color w:val="FFFFFF" w:themeColor="background1"/>
                                <w:lang w:val="es-E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21AD1" id="_x0000_t202" coordsize="21600,21600" o:spt="202" path="m,l,21600r21600,l21600,xe">
                <v:stroke joinstyle="miter"/>
                <v:path gradientshapeok="t" o:connecttype="rect"/>
              </v:shapetype>
              <v:shape id="Cuadro de texto 7" o:spid="_x0000_s1027" type="#_x0000_t202" style="position:absolute;left:0;text-align:left;margin-left:439.2pt;margin-top:630.6pt;width:178.5pt;height:64.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" o:allowoverlap="f" filled="f" stroked="f" strokeweight=".5pt">
                <v:textbox>
                  <w:txbxContent>
                    <w:p w14:paraId="562F1BA7" w14:textId="2C664CC4" w:rsidR="001B5FE9" w:rsidRDefault="001B5FE9" w:rsidP="00366E6F">
                      <w:pPr>
                        <w:rPr>
                          <w:color w:val="FFFFFF" w:themeColor="background1"/>
                          <w:lang w:val="es-ES"/>
                        </w:rPr>
                      </w:pPr>
                      <w:r>
                        <w:rPr>
                          <w:color w:val="FFFFFF" w:themeColor="background1"/>
                          <w:lang w:val="es-ES"/>
                        </w:rPr>
                        <w:t>FECHA</w:t>
                      </w:r>
                    </w:p>
                    <w:p w14:paraId="06F20357" w14:textId="2BA0E2F2" w:rsidR="00FE14F2" w:rsidRPr="00B03E32" w:rsidRDefault="00FE14F2" w:rsidP="00366E6F">
                      <w:pPr>
                        <w:rPr>
                          <w:color w:val="FFFFFF" w:themeColor="background1"/>
                          <w:lang w:val="es-ES"/>
                        </w:rPr>
                      </w:pPr>
                      <w:r w:rsidRPr="00FE14F2">
                        <w:rPr>
                          <w:color w:val="FFFFFF" w:themeColor="background1"/>
                          <w:lang w:val="es-ES"/>
                        </w:rPr>
                        <w:t>Agosto 202</w:t>
                      </w:r>
                      <w:r w:rsidR="00C36510">
                        <w:rPr>
                          <w:color w:val="FFFFFF" w:themeColor="background1"/>
                          <w:lang w:val="es-ES"/>
                        </w:rPr>
                        <w:t>2</w:t>
                      </w:r>
                    </w:p>
                  </w:txbxContent>
                </v:textbox>
                <w10:wrap anchorx="page" anchory="page"/>
                <w10:anchorlock/>
              </v:shape>
            </w:pict>
          </mc:Fallback>
        </mc:AlternateContent>
      </w:r>
      <w:r w:rsidR="006822F6" w:rsidRPr="00366E6F">
        <w:rPr>
          <w:noProof/>
        </w:rPr>
        <mc:AlternateContent>
          <mc:Choice Requires="wps">
            <w:drawing>
              <wp:anchor distT="0" distB="0" distL="114300" distR="114300" simplePos="0" relativeHeight="251658241" behindDoc="0" locked="1" layoutInCell="1" allowOverlap="0" wp14:anchorId="6250A93B" wp14:editId="74F0848C">
                <wp:simplePos x="0" y="0"/>
                <wp:positionH relativeFrom="page">
                  <wp:posOffset>5486400</wp:posOffset>
                </wp:positionH>
                <wp:positionV relativeFrom="page">
                  <wp:posOffset>6187440</wp:posOffset>
                </wp:positionV>
                <wp:extent cx="2366010" cy="1706880"/>
                <wp:effectExtent l="0" t="0" r="0" b="7620"/>
                <wp:wrapNone/>
                <wp:docPr id="8" name="Cuadro de texto 8"/>
                <wp:cNvGraphicFramePr/>
                <a:graphic xmlns:a="http://schemas.openxmlformats.org/drawingml/2006/main">
                  <a:graphicData uri="http://schemas.microsoft.com/office/word/2010/wordprocessingShape">
                    <wps:wsp>
                      <wps:cNvSpPr txBox="1"/>
                      <wps:spPr>
                        <a:xfrm>
                          <a:off x="0" y="0"/>
                          <a:ext cx="2366010" cy="1706880"/>
                        </a:xfrm>
                        <a:prstGeom prst="rect">
                          <a:avLst/>
                        </a:prstGeom>
                        <a:noFill/>
                        <a:ln w="6350">
                          <a:noFill/>
                        </a:ln>
                      </wps:spPr>
                      <wps:txbx>
                        <w:txbxContent>
                          <w:p w14:paraId="03C81BA6" w14:textId="43C3CE19" w:rsidR="002776AA" w:rsidRDefault="002776AA" w:rsidP="00366E6F">
                            <w:pPr>
                              <w:rPr>
                                <w:color w:val="FFFFFF" w:themeColor="background1"/>
                                <w:lang w:val="es-ES"/>
                              </w:rPr>
                            </w:pPr>
                            <w:r>
                              <w:rPr>
                                <w:color w:val="FFFFFF" w:themeColor="background1"/>
                                <w:lang w:val="es-ES"/>
                              </w:rPr>
                              <w:t>ANALISTAS:</w:t>
                            </w:r>
                          </w:p>
                          <w:p w14:paraId="49C66B2D" w14:textId="7E813E52" w:rsidR="002776AA" w:rsidRDefault="001955DD" w:rsidP="00366E6F">
                            <w:pPr>
                              <w:rPr>
                                <w:color w:val="FFFFFF" w:themeColor="background1"/>
                                <w:lang w:val="es-ES"/>
                              </w:rPr>
                            </w:pPr>
                            <w:r>
                              <w:rPr>
                                <w:color w:val="FFFFFF" w:themeColor="background1"/>
                                <w:lang w:val="es-ES"/>
                              </w:rPr>
                              <w:t>Álvaro Reyes A.</w:t>
                            </w:r>
                          </w:p>
                          <w:p w14:paraId="35F943B1" w14:textId="59FD5C47" w:rsidR="001955DD" w:rsidRDefault="001955DD" w:rsidP="00366E6F">
                            <w:pPr>
                              <w:rPr>
                                <w:color w:val="FFFFFF" w:themeColor="background1"/>
                                <w:lang w:val="es-ES"/>
                              </w:rPr>
                            </w:pPr>
                            <w:r>
                              <w:rPr>
                                <w:color w:val="FFFFFF" w:themeColor="background1"/>
                                <w:lang w:val="es-ES"/>
                              </w:rPr>
                              <w:t>Ximena Oyarce L.</w:t>
                            </w:r>
                          </w:p>
                          <w:p w14:paraId="6DAC2ED4" w14:textId="656C5B44" w:rsidR="002776AA" w:rsidRPr="00D07015" w:rsidRDefault="001B5FE9" w:rsidP="00366E6F">
                            <w:pPr>
                              <w:rPr>
                                <w:color w:val="FFFFFF" w:themeColor="background1"/>
                                <w:lang w:val="fr-FR"/>
                              </w:rPr>
                            </w:pPr>
                            <w:r>
                              <w:rPr>
                                <w:color w:val="FFFFFF" w:themeColor="background1"/>
                                <w:lang w:val="fr-FR"/>
                              </w:rPr>
                              <w:t>Aldo Reyes D.</w:t>
                            </w:r>
                          </w:p>
                          <w:p w14:paraId="72E9A662" w14:textId="794FF635" w:rsidR="002776AA" w:rsidRPr="001B5FE9" w:rsidRDefault="00000000" w:rsidP="007E2CE0">
                            <w:pPr>
                              <w:rPr>
                                <w:color w:val="FFFFFF" w:themeColor="background1"/>
                                <w:lang w:val="es-ES"/>
                              </w:rPr>
                            </w:pPr>
                            <w:hyperlink r:id="rId11" w:history="1">
                              <w:r w:rsidR="00C36510" w:rsidRPr="001B5FE9">
                                <w:rPr>
                                  <w:color w:val="FFFFFF" w:themeColor="background1"/>
                                  <w:lang w:val="es-ES"/>
                                </w:rPr>
                                <w:t>alvaro.reyes@humphreys.cl</w:t>
                              </w:r>
                            </w:hyperlink>
                          </w:p>
                          <w:p w14:paraId="3CD5F204" w14:textId="4534214C" w:rsidR="002776AA" w:rsidRPr="001B5FE9" w:rsidRDefault="00000000" w:rsidP="00366E6F">
                            <w:pPr>
                              <w:rPr>
                                <w:color w:val="FFFFFF" w:themeColor="background1"/>
                                <w:lang w:val="es-ES"/>
                              </w:rPr>
                            </w:pPr>
                            <w:hyperlink r:id="rId12" w:history="1">
                              <w:r w:rsidR="00C36510" w:rsidRPr="001B5FE9">
                                <w:rPr>
                                  <w:color w:val="FFFFFF" w:themeColor="background1"/>
                                  <w:lang w:val="es-ES"/>
                                </w:rPr>
                                <w:t>ximena.oyarce@humphreys.cl</w:t>
                              </w:r>
                            </w:hyperlink>
                          </w:p>
                          <w:p w14:paraId="18A823A5" w14:textId="28D0CDDF" w:rsidR="00C36510" w:rsidRPr="001B5FE9" w:rsidRDefault="001B5FE9" w:rsidP="00366E6F">
                            <w:pPr>
                              <w:rPr>
                                <w:color w:val="FFFFFF" w:themeColor="background1"/>
                                <w:lang w:val="es-ES"/>
                              </w:rPr>
                            </w:pPr>
                            <w:hyperlink r:id="rId13" w:history="1">
                              <w:r w:rsidRPr="001B5FE9">
                                <w:rPr>
                                  <w:color w:val="FFFFFF" w:themeColor="background1"/>
                                  <w:lang w:val="es-ES"/>
                                </w:rPr>
                                <w:t>aldo.reyes@humphreys.cl</w:t>
                              </w:r>
                            </w:hyperlink>
                          </w:p>
                          <w:p w14:paraId="2B014777" w14:textId="77777777" w:rsidR="00C36510" w:rsidRPr="001B5FE9" w:rsidRDefault="00C36510" w:rsidP="00366E6F">
                            <w:pPr>
                              <w:rPr>
                                <w:color w:val="FFFFFF" w:themeColor="background1"/>
                                <w:lang w:val="es-ES"/>
                              </w:rPr>
                            </w:pPr>
                          </w:p>
                          <w:p w14:paraId="32B10364" w14:textId="77777777" w:rsidR="002776AA" w:rsidRPr="00D07015" w:rsidRDefault="002776AA" w:rsidP="00366E6F">
                            <w:pPr>
                              <w:rPr>
                                <w:color w:val="FFFFFF" w:themeColor="background1"/>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0A93B" id="Cuadro de texto 8" o:spid="_x0000_s1028" type="#_x0000_t202" style="position:absolute;left:0;text-align:left;margin-left:6in;margin-top:487.2pt;width:186.3pt;height:134.4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" o:allowoverlap="f" filled="f" stroked="f" strokeweight=".5pt">
                <v:textbox>
                  <w:txbxContent>
                    <w:p w14:paraId="03C81BA6" w14:textId="43C3CE19" w:rsidR="002776AA" w:rsidRDefault="002776AA" w:rsidP="00366E6F">
                      <w:pPr>
                        <w:rPr>
                          <w:color w:val="FFFFFF" w:themeColor="background1"/>
                          <w:lang w:val="es-ES"/>
                        </w:rPr>
                      </w:pPr>
                      <w:r>
                        <w:rPr>
                          <w:color w:val="FFFFFF" w:themeColor="background1"/>
                          <w:lang w:val="es-ES"/>
                        </w:rPr>
                        <w:t>ANALISTAS:</w:t>
                      </w:r>
                    </w:p>
                    <w:p w14:paraId="49C66B2D" w14:textId="7E813E52" w:rsidR="002776AA" w:rsidRDefault="001955DD" w:rsidP="00366E6F">
                      <w:pPr>
                        <w:rPr>
                          <w:color w:val="FFFFFF" w:themeColor="background1"/>
                          <w:lang w:val="es-ES"/>
                        </w:rPr>
                      </w:pPr>
                      <w:r>
                        <w:rPr>
                          <w:color w:val="FFFFFF" w:themeColor="background1"/>
                          <w:lang w:val="es-ES"/>
                        </w:rPr>
                        <w:t>Álvaro Reyes A.</w:t>
                      </w:r>
                    </w:p>
                    <w:p w14:paraId="35F943B1" w14:textId="59FD5C47" w:rsidR="001955DD" w:rsidRDefault="001955DD" w:rsidP="00366E6F">
                      <w:pPr>
                        <w:rPr>
                          <w:color w:val="FFFFFF" w:themeColor="background1"/>
                          <w:lang w:val="es-ES"/>
                        </w:rPr>
                      </w:pPr>
                      <w:r>
                        <w:rPr>
                          <w:color w:val="FFFFFF" w:themeColor="background1"/>
                          <w:lang w:val="es-ES"/>
                        </w:rPr>
                        <w:t>Ximena Oyarce L.</w:t>
                      </w:r>
                    </w:p>
                    <w:p w14:paraId="6DAC2ED4" w14:textId="656C5B44" w:rsidR="002776AA" w:rsidRPr="00D07015" w:rsidRDefault="001B5FE9" w:rsidP="00366E6F">
                      <w:pPr>
                        <w:rPr>
                          <w:color w:val="FFFFFF" w:themeColor="background1"/>
                          <w:lang w:val="fr-FR"/>
                        </w:rPr>
                      </w:pPr>
                      <w:r>
                        <w:rPr>
                          <w:color w:val="FFFFFF" w:themeColor="background1"/>
                          <w:lang w:val="fr-FR"/>
                        </w:rPr>
                        <w:t>Aldo Reyes D.</w:t>
                      </w:r>
                    </w:p>
                    <w:p w14:paraId="72E9A662" w14:textId="794FF635" w:rsidR="002776AA" w:rsidRPr="001B5FE9" w:rsidRDefault="00000000" w:rsidP="007E2CE0">
                      <w:pPr>
                        <w:rPr>
                          <w:color w:val="FFFFFF" w:themeColor="background1"/>
                          <w:lang w:val="es-ES"/>
                        </w:rPr>
                      </w:pPr>
                      <w:hyperlink r:id="rId14" w:history="1">
                        <w:r w:rsidR="00C36510" w:rsidRPr="001B5FE9">
                          <w:rPr>
                            <w:color w:val="FFFFFF" w:themeColor="background1"/>
                            <w:lang w:val="es-ES"/>
                          </w:rPr>
                          <w:t>alvaro.reyes@humphreys.cl</w:t>
                        </w:r>
                      </w:hyperlink>
                    </w:p>
                    <w:p w14:paraId="3CD5F204" w14:textId="4534214C" w:rsidR="002776AA" w:rsidRPr="001B5FE9" w:rsidRDefault="00000000" w:rsidP="00366E6F">
                      <w:pPr>
                        <w:rPr>
                          <w:color w:val="FFFFFF" w:themeColor="background1"/>
                          <w:lang w:val="es-ES"/>
                        </w:rPr>
                      </w:pPr>
                      <w:hyperlink r:id="rId15" w:history="1">
                        <w:r w:rsidR="00C36510" w:rsidRPr="001B5FE9">
                          <w:rPr>
                            <w:color w:val="FFFFFF" w:themeColor="background1"/>
                            <w:lang w:val="es-ES"/>
                          </w:rPr>
                          <w:t>ximena.oyarce@humphreys.cl</w:t>
                        </w:r>
                      </w:hyperlink>
                    </w:p>
                    <w:p w14:paraId="18A823A5" w14:textId="28D0CDDF" w:rsidR="00C36510" w:rsidRPr="001B5FE9" w:rsidRDefault="001B5FE9" w:rsidP="00366E6F">
                      <w:pPr>
                        <w:rPr>
                          <w:color w:val="FFFFFF" w:themeColor="background1"/>
                          <w:lang w:val="es-ES"/>
                        </w:rPr>
                      </w:pPr>
                      <w:hyperlink r:id="rId16" w:history="1">
                        <w:r w:rsidRPr="001B5FE9">
                          <w:rPr>
                            <w:color w:val="FFFFFF" w:themeColor="background1"/>
                            <w:lang w:val="es-ES"/>
                          </w:rPr>
                          <w:t>aldo.reyes@humphreys.cl</w:t>
                        </w:r>
                      </w:hyperlink>
                    </w:p>
                    <w:p w14:paraId="2B014777" w14:textId="77777777" w:rsidR="00C36510" w:rsidRPr="001B5FE9" w:rsidRDefault="00C36510" w:rsidP="00366E6F">
                      <w:pPr>
                        <w:rPr>
                          <w:color w:val="FFFFFF" w:themeColor="background1"/>
                          <w:lang w:val="es-ES"/>
                        </w:rPr>
                      </w:pPr>
                    </w:p>
                    <w:p w14:paraId="32B10364" w14:textId="77777777" w:rsidR="002776AA" w:rsidRPr="00D07015" w:rsidRDefault="002776AA" w:rsidP="00366E6F">
                      <w:pPr>
                        <w:rPr>
                          <w:color w:val="FFFFFF" w:themeColor="background1"/>
                          <w:lang w:val="fr-FR"/>
                        </w:rPr>
                      </w:pPr>
                    </w:p>
                  </w:txbxContent>
                </v:textbox>
                <w10:wrap anchorx="page" anchory="page"/>
                <w10:anchorlock/>
              </v:shape>
            </w:pict>
          </mc:Fallback>
        </mc:AlternateContent>
      </w:r>
    </w:p>
    <w:p w14:paraId="107A747A" w14:textId="77777777" w:rsidR="004429DB" w:rsidRDefault="004429DB"/>
    <w:p w14:paraId="44D31502" w14:textId="77777777" w:rsidR="004429DB" w:rsidRDefault="004429DB"/>
    <w:p w14:paraId="70D9B967" w14:textId="4F625345" w:rsidR="004429DB" w:rsidRDefault="004429DB"/>
    <w:p w14:paraId="6BAA8FCA" w14:textId="77777777" w:rsidR="004429DB" w:rsidRDefault="004429DB"/>
    <w:p w14:paraId="095B1D77" w14:textId="5E5006EB" w:rsidR="004429DB" w:rsidRDefault="00056B74">
      <w:r>
        <w:rPr>
          <w:noProof/>
        </w:rPr>
        <mc:AlternateContent>
          <mc:Choice Requires="wps">
            <w:drawing>
              <wp:anchor distT="0" distB="0" distL="114300" distR="114300" simplePos="0" relativeHeight="251658243" behindDoc="0" locked="0" layoutInCell="1" allowOverlap="1" wp14:anchorId="3F26497A" wp14:editId="3ADD9A92">
                <wp:simplePos x="0" y="0"/>
                <wp:positionH relativeFrom="column">
                  <wp:posOffset>0</wp:posOffset>
                </wp:positionH>
                <wp:positionV relativeFrom="paragraph">
                  <wp:posOffset>-635</wp:posOffset>
                </wp:positionV>
                <wp:extent cx="4445307" cy="354838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4445307" cy="3548380"/>
                        </a:xfrm>
                        <a:prstGeom prst="rect">
                          <a:avLst/>
                        </a:prstGeom>
                        <a:solidFill>
                          <a:sysClr val="window" lastClr="FFFFFF"/>
                        </a:solidFill>
                        <a:ln w="6350">
                          <a:noFill/>
                        </a:ln>
                      </wps:spPr>
                      <wps:txbx>
                        <w:txbxContent>
                          <w:p w14:paraId="4F3D3181" w14:textId="51E54866" w:rsidR="00762025" w:rsidRDefault="001E3073" w:rsidP="001B5FE9">
                            <w:pPr>
                              <w:spacing w:before="240" w:line="360" w:lineRule="auto"/>
                              <w:rPr>
                                <w:rFonts w:eastAsiaTheme="majorEastAsia" w:cstheme="majorBidi"/>
                                <w:b/>
                                <w:sz w:val="44"/>
                                <w:szCs w:val="32"/>
                                <w:lang w:val="es-ES"/>
                              </w:rPr>
                            </w:pPr>
                            <w:r w:rsidRPr="001E3073">
                              <w:rPr>
                                <w:rFonts w:eastAsiaTheme="majorEastAsia" w:cstheme="majorBidi"/>
                                <w:b/>
                                <w:sz w:val="44"/>
                                <w:szCs w:val="32"/>
                                <w:lang w:val="es-ES"/>
                              </w:rPr>
                              <w:t>Caja de Compensación de Asignación Familiar La Araucana</w:t>
                            </w:r>
                          </w:p>
                          <w:p w14:paraId="4215EDC9" w14:textId="30DD2E91" w:rsidR="00056B74" w:rsidRPr="007E4041" w:rsidRDefault="00056B74" w:rsidP="00056B74">
                            <w:pPr>
                              <w:rPr>
                                <w:color w:val="AE1619"/>
                                <w:sz w:val="28"/>
                                <w:szCs w:val="36"/>
                                <w:lang w:val="es-ES"/>
                              </w:rPr>
                            </w:pPr>
                            <w:r w:rsidRPr="007E4041">
                              <w:rPr>
                                <w:color w:val="AE1619"/>
                                <w:sz w:val="28"/>
                                <w:szCs w:val="36"/>
                                <w:lang w:val="es-ES"/>
                              </w:rPr>
                              <w:t xml:space="preserve">Anual </w:t>
                            </w:r>
                            <w:r w:rsidR="00C06035">
                              <w:rPr>
                                <w:color w:val="AE1619"/>
                                <w:sz w:val="28"/>
                                <w:szCs w:val="36"/>
                                <w:lang w:val="es-ES"/>
                              </w:rPr>
                              <w:t>y Cambio de Clasificación y Tendencia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6497A" id="Cuadro de texto 6" o:spid="_x0000_s1029" type="#_x0000_t202" style="position:absolute;margin-left:0;margin-top:-.05pt;width:350pt;height:279.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" fillcolor="window" stroked="f" strokeweight=".5pt">
                <v:textbox>
                  <w:txbxContent>
                    <w:p w14:paraId="4F3D3181" w14:textId="51E54866" w:rsidR="00762025" w:rsidRDefault="001E3073" w:rsidP="001B5FE9">
                      <w:pPr>
                        <w:spacing w:before="240" w:line="360" w:lineRule="auto"/>
                        <w:rPr>
                          <w:rFonts w:eastAsiaTheme="majorEastAsia" w:cstheme="majorBidi"/>
                          <w:b/>
                          <w:sz w:val="44"/>
                          <w:szCs w:val="32"/>
                          <w:lang w:val="es-ES"/>
                        </w:rPr>
                      </w:pPr>
                      <w:r w:rsidRPr="001E3073">
                        <w:rPr>
                          <w:rFonts w:eastAsiaTheme="majorEastAsia" w:cstheme="majorBidi"/>
                          <w:b/>
                          <w:sz w:val="44"/>
                          <w:szCs w:val="32"/>
                          <w:lang w:val="es-ES"/>
                        </w:rPr>
                        <w:t>Caja de Compensación de Asignación Familiar La Araucana</w:t>
                      </w:r>
                    </w:p>
                    <w:p w14:paraId="4215EDC9" w14:textId="30DD2E91" w:rsidR="00056B74" w:rsidRPr="007E4041" w:rsidRDefault="00056B74" w:rsidP="00056B74">
                      <w:pPr>
                        <w:rPr>
                          <w:color w:val="AE1619"/>
                          <w:sz w:val="28"/>
                          <w:szCs w:val="36"/>
                          <w:lang w:val="es-ES"/>
                        </w:rPr>
                      </w:pPr>
                      <w:r w:rsidRPr="007E4041">
                        <w:rPr>
                          <w:color w:val="AE1619"/>
                          <w:sz w:val="28"/>
                          <w:szCs w:val="36"/>
                          <w:lang w:val="es-ES"/>
                        </w:rPr>
                        <w:t xml:space="preserve">Anual </w:t>
                      </w:r>
                      <w:r w:rsidR="00C06035">
                        <w:rPr>
                          <w:color w:val="AE1619"/>
                          <w:sz w:val="28"/>
                          <w:szCs w:val="36"/>
                          <w:lang w:val="es-ES"/>
                        </w:rPr>
                        <w:t>y Cambio de Clasificación y Tendencia</w:t>
                      </w:r>
                    </w:p>
                  </w:txbxContent>
                </v:textbox>
              </v:shape>
            </w:pict>
          </mc:Fallback>
        </mc:AlternateContent>
      </w:r>
    </w:p>
    <w:p w14:paraId="0786130F" w14:textId="77777777" w:rsidR="004429DB" w:rsidRDefault="004429DB"/>
    <w:p w14:paraId="3D95DC19" w14:textId="77777777" w:rsidR="004429DB" w:rsidRDefault="004429DB"/>
    <w:p w14:paraId="39298705" w14:textId="77777777" w:rsidR="004429DB" w:rsidRDefault="004429DB"/>
    <w:p w14:paraId="092D9FCA" w14:textId="77777777" w:rsidR="004429DB" w:rsidRDefault="004429DB"/>
    <w:p w14:paraId="3657BB1C" w14:textId="77777777" w:rsidR="004429DB" w:rsidRDefault="004429DB"/>
    <w:p w14:paraId="5EB1F9E3" w14:textId="77777777" w:rsidR="004429DB" w:rsidRDefault="004429DB"/>
    <w:p w14:paraId="6CCC55B3" w14:textId="77777777" w:rsidR="004429DB" w:rsidRDefault="004429DB"/>
    <w:p w14:paraId="7600A4DE" w14:textId="77777777" w:rsidR="004429DB" w:rsidRDefault="004429DB"/>
    <w:p w14:paraId="11C1C7C5" w14:textId="77777777" w:rsidR="004429DB" w:rsidRDefault="004429DB"/>
    <w:p w14:paraId="5219926D" w14:textId="77777777" w:rsidR="004429DB" w:rsidRDefault="004429DB"/>
    <w:p w14:paraId="3A1352D7" w14:textId="46F548F3" w:rsidR="004429DB" w:rsidRDefault="004429DB"/>
    <w:p w14:paraId="125DC385" w14:textId="77777777" w:rsidR="004429DB" w:rsidRDefault="004429DB"/>
    <w:p w14:paraId="32228EBF" w14:textId="77777777" w:rsidR="004429DB" w:rsidRDefault="004429DB"/>
    <w:p w14:paraId="72CB0F86" w14:textId="77777777" w:rsidR="004429DB" w:rsidRDefault="004429DB"/>
    <w:p w14:paraId="731F7539" w14:textId="77777777" w:rsidR="004429DB" w:rsidRDefault="004429DB"/>
    <w:p w14:paraId="18E0FB21" w14:textId="77777777" w:rsidR="004429DB" w:rsidRDefault="004429DB"/>
    <w:p w14:paraId="0A0ED85D" w14:textId="77777777" w:rsidR="004429DB" w:rsidRDefault="004429DB"/>
    <w:p w14:paraId="768F242D" w14:textId="77777777" w:rsidR="004429DB" w:rsidRDefault="004429DB"/>
    <w:p w14:paraId="6C6BBB9F" w14:textId="77777777" w:rsidR="004429DB" w:rsidRDefault="004429DB"/>
    <w:p w14:paraId="7C09A48A" w14:textId="77777777" w:rsidR="004429DB" w:rsidRDefault="004429DB"/>
    <w:p w14:paraId="18FA43FC" w14:textId="77777777" w:rsidR="004429DB" w:rsidRDefault="004429DB"/>
    <w:p w14:paraId="540EEC25" w14:textId="77777777" w:rsidR="004429DB" w:rsidRDefault="004429DB"/>
    <w:p w14:paraId="5B8619DC" w14:textId="77777777" w:rsidR="004429DB" w:rsidRDefault="004429DB"/>
    <w:p w14:paraId="429B05A2" w14:textId="77777777" w:rsidR="004429DB" w:rsidRDefault="004429DB"/>
    <w:p w14:paraId="7231C92B" w14:textId="3E1A409F" w:rsidR="00431B23" w:rsidRDefault="00431B23">
      <w:r>
        <w:br/>
      </w:r>
    </w:p>
    <w:p w14:paraId="102DEE6E" w14:textId="4771C46B" w:rsidR="00E10DEB" w:rsidRDefault="00E10DEB"/>
    <w:p w14:paraId="728907DF" w14:textId="0DFFEF66" w:rsidR="00E10DEB" w:rsidRDefault="00E10DEB"/>
    <w:p w14:paraId="2E8FD96C" w14:textId="5F94D501" w:rsidR="00E10DEB" w:rsidRDefault="00E10DEB"/>
    <w:p w14:paraId="6BBC8038" w14:textId="398FE406" w:rsidR="00E10DEB" w:rsidRDefault="00E10DEB"/>
    <w:p w14:paraId="602B816F" w14:textId="00117591" w:rsidR="00E10DEB" w:rsidRDefault="00E10DEB"/>
    <w:p w14:paraId="38D7E0EA" w14:textId="4CDC556A" w:rsidR="00E10DEB" w:rsidRDefault="00E10DEB"/>
    <w:p w14:paraId="3BC593E8" w14:textId="25C8014D" w:rsidR="00E10DEB" w:rsidRDefault="00E10DEB"/>
    <w:tbl>
      <w:tblPr>
        <w:tblpPr w:leftFromText="141" w:rightFromText="141" w:vertAnchor="text" w:tblpXSpec="center" w:tblpY="1"/>
        <w:tblOverlap w:val="never"/>
        <w:tblW w:w="542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70" w:type="dxa"/>
          <w:right w:w="70" w:type="dxa"/>
        </w:tblCellMar>
        <w:tblLook w:val="0000" w:firstRow="0" w:lastRow="0" w:firstColumn="0" w:lastColumn="0" w:noHBand="0" w:noVBand="0"/>
      </w:tblPr>
      <w:tblGrid>
        <w:gridCol w:w="3261"/>
        <w:gridCol w:w="2164"/>
      </w:tblGrid>
      <w:tr w:rsidR="00431B23" w:rsidRPr="00431B23" w14:paraId="53179930" w14:textId="77777777" w:rsidTr="001B5FE9">
        <w:trPr>
          <w:cantSplit/>
          <w:trHeight w:val="249"/>
        </w:trPr>
        <w:tc>
          <w:tcPr>
            <w:tcW w:w="5425" w:type="dxa"/>
            <w:gridSpan w:val="2"/>
            <w:tcBorders>
              <w:top w:val="single" w:sz="18" w:space="0" w:color="FFFFFF"/>
              <w:left w:val="single" w:sz="18" w:space="0" w:color="FFFFFF"/>
              <w:bottom w:val="single" w:sz="18" w:space="0" w:color="FFFFFF"/>
              <w:right w:val="single" w:sz="18" w:space="0" w:color="FFFFFF"/>
            </w:tcBorders>
            <w:shd w:val="clear" w:color="auto" w:fill="BB1823"/>
            <w:vAlign w:val="center"/>
          </w:tcPr>
          <w:p w14:paraId="7F6EA75D" w14:textId="77777777" w:rsidR="00431B23" w:rsidRPr="00431B23" w:rsidRDefault="00431B23" w:rsidP="00313579">
            <w:pPr>
              <w:keepNext/>
              <w:spacing w:before="60" w:after="60"/>
              <w:jc w:val="center"/>
              <w:outlineLvl w:val="1"/>
              <w:rPr>
                <w:rFonts w:ascii="Verdana" w:eastAsia="Times New Roman" w:hAnsi="Verdana" w:cs="Arial"/>
                <w:b/>
                <w:iCs/>
                <w:color w:val="auto"/>
                <w:sz w:val="18"/>
                <w:szCs w:val="18"/>
                <w:highlight w:val="yellow"/>
                <w:lang w:val="es-ES" w:eastAsia="es-ES"/>
              </w:rPr>
            </w:pPr>
            <w:r w:rsidRPr="004746A9">
              <w:rPr>
                <w:b/>
                <w:bCs/>
                <w:color w:val="FFFFFF" w:themeColor="background1"/>
                <w:sz w:val="18"/>
                <w:szCs w:val="18"/>
              </w:rPr>
              <w:lastRenderedPageBreak/>
              <w:t>Categoría de riesgo</w:t>
            </w:r>
          </w:p>
        </w:tc>
      </w:tr>
      <w:tr w:rsidR="00431B23" w:rsidRPr="00431B23" w14:paraId="205ECF91" w14:textId="77777777" w:rsidTr="001B5FE9">
        <w:trPr>
          <w:cantSplit/>
          <w:trHeight w:val="351"/>
        </w:trPr>
        <w:tc>
          <w:tcPr>
            <w:tcW w:w="3261" w:type="dxa"/>
            <w:tcBorders>
              <w:top w:val="single" w:sz="18" w:space="0" w:color="FFFFFF"/>
              <w:left w:val="single" w:sz="18" w:space="0" w:color="FFFFFF"/>
              <w:bottom w:val="single" w:sz="18" w:space="0" w:color="FFFFFF"/>
              <w:right w:val="single" w:sz="18" w:space="0" w:color="FFFFFF"/>
            </w:tcBorders>
            <w:shd w:val="clear" w:color="auto" w:fill="AE1619"/>
            <w:vAlign w:val="center"/>
          </w:tcPr>
          <w:p w14:paraId="4B5CB0C3" w14:textId="77777777" w:rsidR="00431B23" w:rsidRPr="004746A9" w:rsidRDefault="00431B23" w:rsidP="00313579">
            <w:pPr>
              <w:spacing w:line="360" w:lineRule="auto"/>
              <w:jc w:val="center"/>
              <w:rPr>
                <w:b/>
                <w:bCs/>
                <w:color w:val="1F3864" w:themeColor="accent1" w:themeShade="80"/>
                <w:sz w:val="18"/>
                <w:szCs w:val="18"/>
              </w:rPr>
            </w:pPr>
            <w:r w:rsidRPr="004746A9">
              <w:rPr>
                <w:b/>
                <w:bCs/>
                <w:color w:val="FFFFFF" w:themeColor="background1"/>
                <w:sz w:val="18"/>
                <w:szCs w:val="18"/>
              </w:rPr>
              <w:t>Tipo de instrumento</w:t>
            </w:r>
          </w:p>
        </w:tc>
        <w:tc>
          <w:tcPr>
            <w:tcW w:w="2164" w:type="dxa"/>
            <w:tcBorders>
              <w:top w:val="single" w:sz="18" w:space="0" w:color="FFFFFF"/>
              <w:left w:val="single" w:sz="18" w:space="0" w:color="FFFFFF"/>
              <w:bottom w:val="single" w:sz="18" w:space="0" w:color="FFFFFF"/>
              <w:right w:val="single" w:sz="18" w:space="0" w:color="FFFFFF"/>
            </w:tcBorders>
            <w:shd w:val="clear" w:color="auto" w:fill="AE1619"/>
            <w:vAlign w:val="center"/>
          </w:tcPr>
          <w:p w14:paraId="3DF5F903" w14:textId="77777777" w:rsidR="00431B23" w:rsidRPr="004746A9" w:rsidRDefault="00431B23" w:rsidP="00313579">
            <w:pPr>
              <w:spacing w:line="360" w:lineRule="auto"/>
              <w:jc w:val="center"/>
              <w:rPr>
                <w:b/>
                <w:bCs/>
                <w:color w:val="FFFFFF" w:themeColor="background1"/>
                <w:sz w:val="18"/>
                <w:szCs w:val="18"/>
              </w:rPr>
            </w:pPr>
            <w:r w:rsidRPr="004746A9">
              <w:rPr>
                <w:b/>
                <w:bCs/>
                <w:color w:val="FFFFFF" w:themeColor="background1"/>
                <w:sz w:val="18"/>
                <w:szCs w:val="18"/>
              </w:rPr>
              <w:t>Categoría</w:t>
            </w:r>
          </w:p>
        </w:tc>
      </w:tr>
      <w:tr w:rsidR="00431B23" w:rsidRPr="00431B23" w14:paraId="4254D088" w14:textId="77777777" w:rsidTr="001B5FE9">
        <w:trPr>
          <w:cantSplit/>
          <w:trHeight w:val="351"/>
        </w:trPr>
        <w:tc>
          <w:tcPr>
            <w:tcW w:w="3261" w:type="dxa"/>
            <w:tcBorders>
              <w:top w:val="single" w:sz="18" w:space="0" w:color="FFFFFF"/>
              <w:left w:val="single" w:sz="18" w:space="0" w:color="FFFFFF"/>
              <w:bottom w:val="single" w:sz="18" w:space="0" w:color="FFFFFF"/>
              <w:right w:val="single" w:sz="18" w:space="0" w:color="FFFFFF"/>
            </w:tcBorders>
            <w:shd w:val="clear" w:color="auto" w:fill="FFFFFF" w:themeFill="background1"/>
            <w:vAlign w:val="center"/>
          </w:tcPr>
          <w:p w14:paraId="704DC198" w14:textId="77777777" w:rsidR="00431B23" w:rsidRPr="004746A9" w:rsidRDefault="00431B23" w:rsidP="00313579">
            <w:pPr>
              <w:tabs>
                <w:tab w:val="center" w:pos="4252"/>
                <w:tab w:val="right" w:pos="8504"/>
              </w:tabs>
              <w:ind w:left="57"/>
              <w:rPr>
                <w:color w:val="1F3864" w:themeColor="accent1" w:themeShade="80"/>
                <w:sz w:val="18"/>
                <w:szCs w:val="18"/>
              </w:rPr>
            </w:pPr>
          </w:p>
          <w:p w14:paraId="7208CED7" w14:textId="34A8D11B" w:rsidR="00431B23" w:rsidRPr="004746A9" w:rsidRDefault="00B237EB" w:rsidP="00313579">
            <w:pPr>
              <w:tabs>
                <w:tab w:val="center" w:pos="4252"/>
                <w:tab w:val="right" w:pos="8504"/>
              </w:tabs>
              <w:ind w:left="57"/>
              <w:rPr>
                <w:color w:val="1F3864" w:themeColor="accent1" w:themeShade="80"/>
                <w:sz w:val="18"/>
                <w:szCs w:val="18"/>
              </w:rPr>
            </w:pPr>
            <w:r>
              <w:rPr>
                <w:color w:val="1F3864" w:themeColor="accent1" w:themeShade="80"/>
                <w:sz w:val="18"/>
                <w:szCs w:val="18"/>
              </w:rPr>
              <w:t>Líneas de b</w:t>
            </w:r>
            <w:r w:rsidR="00431B23" w:rsidRPr="004746A9">
              <w:rPr>
                <w:color w:val="1F3864" w:themeColor="accent1" w:themeShade="80"/>
                <w:sz w:val="18"/>
                <w:szCs w:val="18"/>
              </w:rPr>
              <w:t>onos</w:t>
            </w:r>
            <w:r w:rsidR="001B5FE9">
              <w:rPr>
                <w:color w:val="1F3864" w:themeColor="accent1" w:themeShade="80"/>
                <w:sz w:val="18"/>
                <w:szCs w:val="18"/>
              </w:rPr>
              <w:t xml:space="preserve"> y bonos</w:t>
            </w:r>
          </w:p>
          <w:p w14:paraId="68D3611A" w14:textId="4F7AB115" w:rsidR="00431B23" w:rsidRDefault="007B6999" w:rsidP="00313579">
            <w:pPr>
              <w:tabs>
                <w:tab w:val="center" w:pos="4252"/>
                <w:tab w:val="right" w:pos="8504"/>
              </w:tabs>
              <w:ind w:left="57"/>
              <w:rPr>
                <w:color w:val="1F3864" w:themeColor="accent1" w:themeShade="80"/>
                <w:sz w:val="18"/>
                <w:szCs w:val="18"/>
              </w:rPr>
            </w:pPr>
            <w:r>
              <w:rPr>
                <w:color w:val="1F3864" w:themeColor="accent1" w:themeShade="80"/>
                <w:sz w:val="18"/>
                <w:szCs w:val="18"/>
              </w:rPr>
              <w:t>Línea de e</w:t>
            </w:r>
            <w:r w:rsidR="00B237EB">
              <w:rPr>
                <w:color w:val="1F3864" w:themeColor="accent1" w:themeShade="80"/>
                <w:sz w:val="18"/>
                <w:szCs w:val="18"/>
              </w:rPr>
              <w:t xml:space="preserve">fectos de </w:t>
            </w:r>
            <w:r>
              <w:rPr>
                <w:color w:val="1F3864" w:themeColor="accent1" w:themeShade="80"/>
                <w:sz w:val="18"/>
                <w:szCs w:val="18"/>
              </w:rPr>
              <w:t>comercio</w:t>
            </w:r>
          </w:p>
          <w:p w14:paraId="30E84BB8" w14:textId="4B143001" w:rsidR="001B5FE9" w:rsidRDefault="001B5FE9" w:rsidP="00313579">
            <w:pPr>
              <w:tabs>
                <w:tab w:val="center" w:pos="4252"/>
                <w:tab w:val="right" w:pos="8504"/>
              </w:tabs>
              <w:ind w:left="57"/>
              <w:rPr>
                <w:color w:val="1F3864" w:themeColor="accent1" w:themeShade="80"/>
                <w:sz w:val="18"/>
                <w:szCs w:val="18"/>
              </w:rPr>
            </w:pPr>
            <w:r>
              <w:rPr>
                <w:color w:val="1F3864" w:themeColor="accent1" w:themeShade="80"/>
                <w:sz w:val="18"/>
                <w:szCs w:val="18"/>
              </w:rPr>
              <w:t>Tendencia</w:t>
            </w:r>
          </w:p>
          <w:p w14:paraId="2785B413" w14:textId="77777777" w:rsidR="00B237EB" w:rsidRPr="004746A9" w:rsidRDefault="00B237EB" w:rsidP="00313579">
            <w:pPr>
              <w:tabs>
                <w:tab w:val="center" w:pos="4252"/>
                <w:tab w:val="right" w:pos="8504"/>
              </w:tabs>
              <w:ind w:left="57"/>
              <w:rPr>
                <w:color w:val="1F3864" w:themeColor="accent1" w:themeShade="80"/>
                <w:sz w:val="18"/>
                <w:szCs w:val="18"/>
              </w:rPr>
            </w:pPr>
          </w:p>
          <w:p w14:paraId="10412114" w14:textId="77777777" w:rsidR="00431B23" w:rsidRPr="004746A9" w:rsidRDefault="00431B23" w:rsidP="00313579">
            <w:pPr>
              <w:tabs>
                <w:tab w:val="center" w:pos="4252"/>
                <w:tab w:val="right" w:pos="8504"/>
              </w:tabs>
              <w:ind w:left="57"/>
              <w:rPr>
                <w:color w:val="1F3864" w:themeColor="accent1" w:themeShade="80"/>
                <w:sz w:val="18"/>
                <w:szCs w:val="18"/>
              </w:rPr>
            </w:pPr>
            <w:r w:rsidRPr="004746A9">
              <w:rPr>
                <w:color w:val="1F3864" w:themeColor="accent1" w:themeShade="80"/>
                <w:sz w:val="18"/>
                <w:szCs w:val="18"/>
              </w:rPr>
              <w:t>EEFF base</w:t>
            </w:r>
          </w:p>
          <w:p w14:paraId="2D9EAEB2" w14:textId="77777777" w:rsidR="00431B23" w:rsidRPr="004746A9" w:rsidRDefault="00431B23" w:rsidP="00313579">
            <w:pPr>
              <w:tabs>
                <w:tab w:val="center" w:pos="4252"/>
                <w:tab w:val="right" w:pos="8504"/>
              </w:tabs>
              <w:ind w:left="57"/>
              <w:rPr>
                <w:color w:val="1F3864" w:themeColor="accent1" w:themeShade="80"/>
                <w:sz w:val="18"/>
                <w:szCs w:val="18"/>
              </w:rPr>
            </w:pPr>
          </w:p>
        </w:tc>
        <w:tc>
          <w:tcPr>
            <w:tcW w:w="2164" w:type="dxa"/>
            <w:tcBorders>
              <w:top w:val="single" w:sz="18" w:space="0" w:color="FFFFFF"/>
              <w:left w:val="single" w:sz="18" w:space="0" w:color="FFFFFF"/>
              <w:bottom w:val="single" w:sz="18" w:space="0" w:color="FFFFFF"/>
              <w:right w:val="single" w:sz="18" w:space="0" w:color="FFFFFF"/>
            </w:tcBorders>
            <w:shd w:val="clear" w:color="auto" w:fill="FFFFFF" w:themeFill="background1"/>
            <w:vAlign w:val="center"/>
          </w:tcPr>
          <w:p w14:paraId="3BA09F82" w14:textId="77777777" w:rsidR="00431B23" w:rsidRPr="004746A9" w:rsidRDefault="00431B23" w:rsidP="00313579">
            <w:pPr>
              <w:tabs>
                <w:tab w:val="center" w:pos="4252"/>
                <w:tab w:val="right" w:pos="8504"/>
              </w:tabs>
              <w:ind w:left="57"/>
              <w:jc w:val="center"/>
              <w:rPr>
                <w:color w:val="1F3864" w:themeColor="accent1" w:themeShade="80"/>
                <w:sz w:val="18"/>
                <w:szCs w:val="18"/>
              </w:rPr>
            </w:pPr>
          </w:p>
          <w:p w14:paraId="1C140496" w14:textId="41126B78" w:rsidR="00431B23" w:rsidRPr="001B5FE9" w:rsidRDefault="00DD7340" w:rsidP="00313579">
            <w:pPr>
              <w:tabs>
                <w:tab w:val="center" w:pos="4252"/>
                <w:tab w:val="right" w:pos="8504"/>
              </w:tabs>
              <w:ind w:left="57"/>
              <w:jc w:val="center"/>
              <w:rPr>
                <w:b/>
                <w:bCs/>
                <w:color w:val="1F3864" w:themeColor="accent1" w:themeShade="80"/>
                <w:sz w:val="18"/>
                <w:szCs w:val="18"/>
              </w:rPr>
            </w:pPr>
            <w:r w:rsidRPr="001B5FE9">
              <w:rPr>
                <w:b/>
                <w:bCs/>
                <w:color w:val="1F3864" w:themeColor="accent1" w:themeShade="80"/>
                <w:sz w:val="18"/>
                <w:szCs w:val="18"/>
              </w:rPr>
              <w:t>BBB</w:t>
            </w:r>
            <w:bookmarkStart w:id="0" w:name="_Ref113006401"/>
            <w:r w:rsidR="00F6754F" w:rsidRPr="001B5FE9">
              <w:rPr>
                <w:rStyle w:val="Refdenotaalpie"/>
                <w:b/>
                <w:bCs/>
                <w:color w:val="1F3864" w:themeColor="accent1" w:themeShade="80"/>
                <w:sz w:val="18"/>
                <w:szCs w:val="18"/>
              </w:rPr>
              <w:footnoteReference w:id="2"/>
            </w:r>
            <w:bookmarkEnd w:id="0"/>
          </w:p>
          <w:p w14:paraId="4A4A752F" w14:textId="3195D157" w:rsidR="00B237EB" w:rsidRDefault="00B07148" w:rsidP="00313579">
            <w:pPr>
              <w:jc w:val="center"/>
              <w:rPr>
                <w:b/>
                <w:bCs/>
                <w:color w:val="1F3864" w:themeColor="accent1" w:themeShade="80"/>
                <w:sz w:val="16"/>
                <w:szCs w:val="16"/>
              </w:rPr>
            </w:pPr>
            <w:r w:rsidRPr="001B5FE9">
              <w:rPr>
                <w:b/>
                <w:bCs/>
                <w:color w:val="1F3864" w:themeColor="accent1" w:themeShade="80"/>
                <w:sz w:val="18"/>
                <w:szCs w:val="18"/>
              </w:rPr>
              <w:t>Nivel 3/BBB</w:t>
            </w:r>
            <w:r w:rsidR="00333C5B" w:rsidRPr="001B5FE9">
              <w:rPr>
                <w:b/>
                <w:bCs/>
                <w:color w:val="1F3864" w:themeColor="accent1" w:themeShade="80"/>
                <w:sz w:val="16"/>
                <w:szCs w:val="16"/>
              </w:rPr>
              <w:fldChar w:fldCharType="begin"/>
            </w:r>
            <w:r w:rsidR="00333C5B" w:rsidRPr="001B5FE9">
              <w:rPr>
                <w:b/>
                <w:bCs/>
                <w:color w:val="1F3864" w:themeColor="accent1" w:themeShade="80"/>
                <w:sz w:val="16"/>
                <w:szCs w:val="16"/>
              </w:rPr>
              <w:instrText xml:space="preserve"> NOTEREF _Ref113006401 \f \h  \* MERGEFORMAT </w:instrText>
            </w:r>
            <w:r w:rsidR="00333C5B" w:rsidRPr="001B5FE9">
              <w:rPr>
                <w:b/>
                <w:bCs/>
                <w:color w:val="1F3864" w:themeColor="accent1" w:themeShade="80"/>
                <w:sz w:val="16"/>
                <w:szCs w:val="16"/>
              </w:rPr>
            </w:r>
            <w:r w:rsidR="00333C5B" w:rsidRPr="001B5FE9">
              <w:rPr>
                <w:b/>
                <w:bCs/>
                <w:color w:val="1F3864" w:themeColor="accent1" w:themeShade="80"/>
                <w:sz w:val="16"/>
                <w:szCs w:val="16"/>
              </w:rPr>
              <w:fldChar w:fldCharType="separate"/>
            </w:r>
            <w:r w:rsidR="007F4B16" w:rsidRPr="007F4B16">
              <w:rPr>
                <w:rStyle w:val="Refdenotaalpie"/>
                <w:b/>
                <w:bCs/>
                <w:sz w:val="20"/>
                <w:szCs w:val="22"/>
              </w:rPr>
              <w:t>1</w:t>
            </w:r>
            <w:r w:rsidR="00333C5B" w:rsidRPr="001B5FE9">
              <w:rPr>
                <w:b/>
                <w:bCs/>
                <w:color w:val="1F3864" w:themeColor="accent1" w:themeShade="80"/>
                <w:sz w:val="16"/>
                <w:szCs w:val="16"/>
              </w:rPr>
              <w:fldChar w:fldCharType="end"/>
            </w:r>
          </w:p>
          <w:p w14:paraId="1FC3E49D" w14:textId="77777777" w:rsidR="001B5FE9" w:rsidRPr="001B5FE9" w:rsidRDefault="001B5FE9" w:rsidP="001B5FE9">
            <w:pPr>
              <w:jc w:val="center"/>
              <w:rPr>
                <w:b/>
                <w:bCs/>
                <w:color w:val="1F3864" w:themeColor="accent1" w:themeShade="80"/>
                <w:sz w:val="18"/>
                <w:szCs w:val="18"/>
              </w:rPr>
            </w:pPr>
            <w:r w:rsidRPr="001B5FE9">
              <w:rPr>
                <w:b/>
                <w:bCs/>
                <w:color w:val="1F3864" w:themeColor="accent1" w:themeShade="80"/>
                <w:sz w:val="18"/>
                <w:szCs w:val="18"/>
              </w:rPr>
              <w:t>Estable</w:t>
            </w:r>
            <w:r w:rsidRPr="001B5FE9">
              <w:rPr>
                <w:rStyle w:val="Refdenotaalpie"/>
                <w:b/>
                <w:bCs/>
                <w:color w:val="1F3864" w:themeColor="accent1" w:themeShade="80"/>
                <w:sz w:val="18"/>
                <w:szCs w:val="18"/>
              </w:rPr>
              <w:footnoteReference w:id="3"/>
            </w:r>
          </w:p>
          <w:p w14:paraId="018B73A7" w14:textId="77777777" w:rsidR="00431B23" w:rsidRPr="004746A9" w:rsidRDefault="00431B23" w:rsidP="00313579">
            <w:pPr>
              <w:jc w:val="center"/>
              <w:rPr>
                <w:color w:val="1F3864" w:themeColor="accent1" w:themeShade="80"/>
                <w:sz w:val="18"/>
                <w:szCs w:val="18"/>
              </w:rPr>
            </w:pPr>
          </w:p>
          <w:p w14:paraId="5DE08736" w14:textId="41C14977" w:rsidR="00431B23" w:rsidRPr="004746A9" w:rsidRDefault="005268CC" w:rsidP="00313579">
            <w:pPr>
              <w:jc w:val="center"/>
              <w:rPr>
                <w:color w:val="1F3864" w:themeColor="accent1" w:themeShade="80"/>
                <w:sz w:val="18"/>
                <w:szCs w:val="18"/>
              </w:rPr>
            </w:pPr>
            <w:r>
              <w:rPr>
                <w:color w:val="1F3864" w:themeColor="accent1" w:themeShade="80"/>
                <w:sz w:val="18"/>
                <w:szCs w:val="18"/>
              </w:rPr>
              <w:t>31 de m</w:t>
            </w:r>
            <w:r w:rsidR="00DA23C2">
              <w:rPr>
                <w:color w:val="1F3864" w:themeColor="accent1" w:themeShade="80"/>
                <w:sz w:val="18"/>
                <w:szCs w:val="18"/>
              </w:rPr>
              <w:t>arzo de 202</w:t>
            </w:r>
            <w:r w:rsidR="00333C5B">
              <w:rPr>
                <w:color w:val="1F3864" w:themeColor="accent1" w:themeShade="80"/>
                <w:sz w:val="18"/>
                <w:szCs w:val="18"/>
              </w:rPr>
              <w:t>2</w:t>
            </w:r>
            <w:r w:rsidR="006E631E">
              <w:rPr>
                <w:rStyle w:val="Refdenotaalpie"/>
                <w:color w:val="1F3864" w:themeColor="accent1" w:themeShade="80"/>
                <w:sz w:val="18"/>
                <w:szCs w:val="18"/>
              </w:rPr>
              <w:footnoteReference w:id="4"/>
            </w:r>
          </w:p>
          <w:p w14:paraId="09B00FA5" w14:textId="77777777" w:rsidR="00431B23" w:rsidRPr="004746A9" w:rsidRDefault="00431B23" w:rsidP="00313579">
            <w:pPr>
              <w:jc w:val="center"/>
              <w:rPr>
                <w:color w:val="1F3864" w:themeColor="accent1" w:themeShade="80"/>
                <w:sz w:val="18"/>
                <w:szCs w:val="18"/>
              </w:rPr>
            </w:pPr>
          </w:p>
        </w:tc>
      </w:tr>
    </w:tbl>
    <w:p w14:paraId="42B3050E" w14:textId="68C1ABDB" w:rsidR="00242FB0" w:rsidRDefault="00242FB0" w:rsidP="00C576DC"/>
    <w:p w14:paraId="129F28F0" w14:textId="4878EDBA" w:rsidR="004429DB" w:rsidRDefault="004429DB"/>
    <w:p w14:paraId="6244CCB7" w14:textId="046E61A6" w:rsidR="001A4849" w:rsidRDefault="001A4849"/>
    <w:p w14:paraId="19A4D6A1" w14:textId="63CA903D" w:rsidR="001A4849" w:rsidRDefault="001A4849"/>
    <w:p w14:paraId="6D0C6560" w14:textId="0F99FF53" w:rsidR="001A4849" w:rsidRDefault="001A4849"/>
    <w:p w14:paraId="21E4D8EA" w14:textId="6362409A" w:rsidR="001A4849" w:rsidRDefault="001A4849"/>
    <w:p w14:paraId="4B554B9B" w14:textId="22425639" w:rsidR="001A4849" w:rsidRDefault="001A4849"/>
    <w:p w14:paraId="65F2852C" w14:textId="23EBD93B" w:rsidR="001A4849" w:rsidRDefault="001A4849"/>
    <w:p w14:paraId="29F963A8" w14:textId="5F70F8D9" w:rsidR="001A4849" w:rsidRDefault="001A4849"/>
    <w:p w14:paraId="3B48BB25" w14:textId="77777777" w:rsidR="00B02889" w:rsidRDefault="00B02889"/>
    <w:tbl>
      <w:tblPr>
        <w:tblW w:w="5385" w:type="dxa"/>
        <w:jc w:val="center"/>
        <w:tblCellMar>
          <w:left w:w="70" w:type="dxa"/>
          <w:right w:w="70" w:type="dxa"/>
        </w:tblCellMar>
        <w:tblLook w:val="04A0" w:firstRow="1" w:lastRow="0" w:firstColumn="1" w:lastColumn="0" w:noHBand="0" w:noVBand="1"/>
      </w:tblPr>
      <w:tblGrid>
        <w:gridCol w:w="3061"/>
        <w:gridCol w:w="2324"/>
      </w:tblGrid>
      <w:tr w:rsidR="00B8633F" w:rsidRPr="002A3533" w14:paraId="479B3281" w14:textId="77777777">
        <w:trPr>
          <w:cantSplit/>
          <w:trHeight w:val="330"/>
          <w:jc w:val="center"/>
        </w:trPr>
        <w:tc>
          <w:tcPr>
            <w:tcW w:w="5385" w:type="dxa"/>
            <w:gridSpan w:val="2"/>
            <w:tcBorders>
              <w:top w:val="nil"/>
              <w:left w:val="single" w:sz="12" w:space="0" w:color="FFFFFF"/>
              <w:bottom w:val="single" w:sz="12" w:space="0" w:color="FFFFFF"/>
              <w:right w:val="single" w:sz="12" w:space="0" w:color="FFFFFF"/>
            </w:tcBorders>
            <w:shd w:val="clear" w:color="000000" w:fill="AE1619"/>
            <w:vAlign w:val="center"/>
          </w:tcPr>
          <w:p w14:paraId="7CD9B900" w14:textId="42FC52F2" w:rsidR="00B8633F" w:rsidRPr="002A3533" w:rsidDel="005A657F" w:rsidRDefault="00B8633F">
            <w:pPr>
              <w:pStyle w:val="Sinespaciado"/>
              <w:jc w:val="center"/>
              <w:rPr>
                <w:b/>
                <w:bCs/>
                <w:color w:val="FFFFFF" w:themeColor="background1"/>
                <w:sz w:val="18"/>
                <w:szCs w:val="20"/>
                <w:lang w:eastAsia="es-CL"/>
              </w:rPr>
            </w:pPr>
            <w:r>
              <w:rPr>
                <w:b/>
                <w:bCs/>
                <w:color w:val="FFFFFF" w:themeColor="background1"/>
                <w:sz w:val="18"/>
                <w:szCs w:val="20"/>
                <w:lang w:eastAsia="es-CL"/>
              </w:rPr>
              <w:t>Número y fecha de inscripción de emisiones de deuda</w:t>
            </w:r>
          </w:p>
        </w:tc>
      </w:tr>
      <w:tr w:rsidR="00B8633F" w:rsidRPr="002A3533" w14:paraId="3E7818EC" w14:textId="77777777" w:rsidTr="00B8633F">
        <w:trPr>
          <w:trHeight w:val="330"/>
          <w:jc w:val="center"/>
        </w:trPr>
        <w:tc>
          <w:tcPr>
            <w:tcW w:w="3061" w:type="dxa"/>
            <w:tcBorders>
              <w:top w:val="nil"/>
              <w:left w:val="single" w:sz="12" w:space="0" w:color="FFFFFF"/>
              <w:bottom w:val="nil"/>
              <w:right w:val="single" w:sz="12" w:space="0" w:color="FFFFFF"/>
            </w:tcBorders>
            <w:shd w:val="clear" w:color="000000" w:fill="FFFFFF"/>
            <w:vAlign w:val="center"/>
            <w:hideMark/>
          </w:tcPr>
          <w:p w14:paraId="31668F4C" w14:textId="4047EAC2" w:rsidR="00BA4F78" w:rsidRPr="002A3533" w:rsidRDefault="007425ED">
            <w:pPr>
              <w:pStyle w:val="Sinespaciado"/>
              <w:rPr>
                <w:color w:val="1F3864"/>
                <w:sz w:val="18"/>
                <w:szCs w:val="20"/>
                <w:lang w:eastAsia="es-CL"/>
              </w:rPr>
            </w:pPr>
            <w:r>
              <w:rPr>
                <w:sz w:val="18"/>
                <w:szCs w:val="20"/>
                <w:lang w:eastAsia="es-CL"/>
              </w:rPr>
              <w:t>Línea de bonos</w:t>
            </w:r>
          </w:p>
        </w:tc>
        <w:tc>
          <w:tcPr>
            <w:tcW w:w="2324" w:type="dxa"/>
            <w:tcBorders>
              <w:top w:val="nil"/>
              <w:left w:val="nil"/>
              <w:bottom w:val="nil"/>
              <w:right w:val="single" w:sz="12" w:space="0" w:color="FFFFFF"/>
            </w:tcBorders>
            <w:shd w:val="clear" w:color="000000" w:fill="FFFFFF"/>
            <w:vAlign w:val="center"/>
            <w:hideMark/>
          </w:tcPr>
          <w:p w14:paraId="46943312" w14:textId="11A433CC" w:rsidR="00BA4F78" w:rsidRPr="001A3558" w:rsidRDefault="007425ED">
            <w:pPr>
              <w:pStyle w:val="Sinespaciado"/>
              <w:jc w:val="center"/>
              <w:rPr>
                <w:color w:val="1F3864"/>
                <w:sz w:val="18"/>
                <w:szCs w:val="20"/>
                <w:lang w:eastAsia="es-CL"/>
              </w:rPr>
            </w:pPr>
            <w:r>
              <w:rPr>
                <w:color w:val="1F3864"/>
                <w:sz w:val="18"/>
                <w:szCs w:val="20"/>
                <w:lang w:eastAsia="es-CL"/>
              </w:rPr>
              <w:t>N°</w:t>
            </w:r>
            <w:r w:rsidR="00E50B3A">
              <w:rPr>
                <w:color w:val="1F3864"/>
                <w:sz w:val="18"/>
                <w:szCs w:val="20"/>
                <w:lang w:eastAsia="es-CL"/>
              </w:rPr>
              <w:t>773 de 18.12.13</w:t>
            </w:r>
          </w:p>
        </w:tc>
      </w:tr>
      <w:tr w:rsidR="005F5794" w:rsidRPr="002A3533" w14:paraId="0956442B" w14:textId="77777777" w:rsidTr="00B8633F">
        <w:trPr>
          <w:trHeight w:val="330"/>
          <w:jc w:val="center"/>
        </w:trPr>
        <w:tc>
          <w:tcPr>
            <w:tcW w:w="3061" w:type="dxa"/>
            <w:tcBorders>
              <w:top w:val="nil"/>
              <w:left w:val="single" w:sz="12" w:space="0" w:color="FFFFFF"/>
              <w:bottom w:val="nil"/>
              <w:right w:val="single" w:sz="12" w:space="0" w:color="FFFFFF"/>
            </w:tcBorders>
            <w:shd w:val="clear" w:color="000000" w:fill="FFFFFF"/>
            <w:vAlign w:val="center"/>
          </w:tcPr>
          <w:p w14:paraId="2FE80EED" w14:textId="48BD2E66" w:rsidR="00E50B3A" w:rsidRDefault="00E50B3A">
            <w:pPr>
              <w:pStyle w:val="Sinespaciado"/>
              <w:rPr>
                <w:sz w:val="18"/>
                <w:szCs w:val="20"/>
                <w:lang w:eastAsia="es-CL"/>
              </w:rPr>
            </w:pPr>
            <w:r>
              <w:rPr>
                <w:sz w:val="18"/>
                <w:szCs w:val="20"/>
                <w:lang w:eastAsia="es-CL"/>
              </w:rPr>
              <w:t>Línea de bonos</w:t>
            </w:r>
          </w:p>
        </w:tc>
        <w:tc>
          <w:tcPr>
            <w:tcW w:w="2324" w:type="dxa"/>
            <w:tcBorders>
              <w:top w:val="nil"/>
              <w:left w:val="nil"/>
              <w:bottom w:val="nil"/>
              <w:right w:val="single" w:sz="12" w:space="0" w:color="FFFFFF"/>
            </w:tcBorders>
            <w:shd w:val="clear" w:color="000000" w:fill="FFFFFF"/>
            <w:vAlign w:val="center"/>
          </w:tcPr>
          <w:p w14:paraId="7491682C" w14:textId="28C65C4A" w:rsidR="00E50B3A" w:rsidRPr="00932DCA" w:rsidRDefault="00793D7D">
            <w:pPr>
              <w:pStyle w:val="Sinespaciado"/>
              <w:jc w:val="center"/>
              <w:rPr>
                <w:color w:val="1F3864"/>
                <w:sz w:val="18"/>
                <w:szCs w:val="20"/>
                <w:lang w:eastAsia="es-CL"/>
              </w:rPr>
            </w:pPr>
            <w:r>
              <w:rPr>
                <w:color w:val="1F3864"/>
                <w:sz w:val="18"/>
                <w:szCs w:val="20"/>
                <w:lang w:eastAsia="es-CL"/>
              </w:rPr>
              <w:t>N°</w:t>
            </w:r>
            <w:r w:rsidR="004D6974">
              <w:rPr>
                <w:color w:val="1F3864"/>
                <w:sz w:val="18"/>
                <w:szCs w:val="20"/>
                <w:lang w:eastAsia="es-CL"/>
              </w:rPr>
              <w:t>802 de 13.02.15</w:t>
            </w:r>
          </w:p>
        </w:tc>
      </w:tr>
      <w:tr w:rsidR="005F5794" w:rsidRPr="002A3533" w14:paraId="6F599B0C" w14:textId="77777777" w:rsidTr="00B8633F">
        <w:trPr>
          <w:trHeight w:val="330"/>
          <w:jc w:val="center"/>
        </w:trPr>
        <w:tc>
          <w:tcPr>
            <w:tcW w:w="3061" w:type="dxa"/>
            <w:tcBorders>
              <w:top w:val="nil"/>
              <w:left w:val="single" w:sz="12" w:space="0" w:color="FFFFFF"/>
              <w:bottom w:val="nil"/>
              <w:right w:val="single" w:sz="12" w:space="0" w:color="FFFFFF"/>
            </w:tcBorders>
            <w:shd w:val="clear" w:color="000000" w:fill="FFFFFF"/>
            <w:vAlign w:val="center"/>
          </w:tcPr>
          <w:p w14:paraId="3B40B1BE" w14:textId="0CC8A2E9" w:rsidR="00E50B3A" w:rsidRDefault="00910AFF">
            <w:pPr>
              <w:pStyle w:val="Sinespaciado"/>
              <w:rPr>
                <w:sz w:val="18"/>
                <w:szCs w:val="20"/>
                <w:lang w:eastAsia="es-CL"/>
              </w:rPr>
            </w:pPr>
            <w:r>
              <w:rPr>
                <w:sz w:val="18"/>
                <w:szCs w:val="20"/>
                <w:lang w:eastAsia="es-CL"/>
              </w:rPr>
              <w:t>Bonos serie F (BCCA-F0919)</w:t>
            </w:r>
          </w:p>
        </w:tc>
        <w:tc>
          <w:tcPr>
            <w:tcW w:w="2324" w:type="dxa"/>
            <w:tcBorders>
              <w:top w:val="nil"/>
              <w:left w:val="nil"/>
              <w:bottom w:val="nil"/>
              <w:right w:val="single" w:sz="12" w:space="0" w:color="FFFFFF"/>
            </w:tcBorders>
            <w:shd w:val="clear" w:color="000000" w:fill="FFFFFF"/>
            <w:vAlign w:val="center"/>
          </w:tcPr>
          <w:p w14:paraId="3BEF88A3" w14:textId="208122FA" w:rsidR="00E50B3A" w:rsidRPr="00932DCA" w:rsidRDefault="00B8189E">
            <w:pPr>
              <w:pStyle w:val="Sinespaciado"/>
              <w:jc w:val="center"/>
              <w:rPr>
                <w:color w:val="1F3864"/>
                <w:sz w:val="18"/>
                <w:szCs w:val="20"/>
                <w:lang w:eastAsia="es-CL"/>
              </w:rPr>
            </w:pPr>
            <w:r>
              <w:rPr>
                <w:color w:val="1F3864"/>
                <w:sz w:val="18"/>
                <w:szCs w:val="20"/>
                <w:lang w:eastAsia="es-CL"/>
              </w:rPr>
              <w:t>N°1001 de 14.02.20</w:t>
            </w:r>
          </w:p>
        </w:tc>
      </w:tr>
      <w:tr w:rsidR="00B8633F" w:rsidRPr="002A3533" w14:paraId="56AB9380" w14:textId="77777777" w:rsidTr="00B8633F">
        <w:trPr>
          <w:trHeight w:val="330"/>
          <w:jc w:val="center"/>
        </w:trPr>
        <w:tc>
          <w:tcPr>
            <w:tcW w:w="3061" w:type="dxa"/>
            <w:tcBorders>
              <w:top w:val="nil"/>
              <w:left w:val="single" w:sz="12" w:space="0" w:color="FFFFFF"/>
              <w:bottom w:val="nil"/>
              <w:right w:val="single" w:sz="12" w:space="0" w:color="FFFFFF"/>
            </w:tcBorders>
            <w:shd w:val="clear" w:color="000000" w:fill="FFFFFF"/>
            <w:vAlign w:val="center"/>
            <w:hideMark/>
          </w:tcPr>
          <w:p w14:paraId="2060F858" w14:textId="7030C7EC" w:rsidR="00BA4F78" w:rsidRPr="002A3533" w:rsidRDefault="00B8189E">
            <w:pPr>
              <w:pStyle w:val="Sinespaciado"/>
              <w:rPr>
                <w:color w:val="1F3864"/>
                <w:sz w:val="18"/>
                <w:szCs w:val="20"/>
                <w:lang w:eastAsia="es-CL"/>
              </w:rPr>
            </w:pPr>
            <w:r>
              <w:rPr>
                <w:sz w:val="18"/>
                <w:szCs w:val="20"/>
                <w:lang w:eastAsia="es-CL"/>
              </w:rPr>
              <w:t>Bonos serie G (BCCA-G09</w:t>
            </w:r>
            <w:r w:rsidR="006F24FE">
              <w:rPr>
                <w:sz w:val="18"/>
                <w:szCs w:val="20"/>
                <w:lang w:eastAsia="es-CL"/>
              </w:rPr>
              <w:t>19)</w:t>
            </w:r>
          </w:p>
        </w:tc>
        <w:tc>
          <w:tcPr>
            <w:tcW w:w="2324" w:type="dxa"/>
            <w:tcBorders>
              <w:top w:val="nil"/>
              <w:left w:val="nil"/>
              <w:bottom w:val="nil"/>
              <w:right w:val="single" w:sz="12" w:space="0" w:color="FFFFFF"/>
            </w:tcBorders>
            <w:shd w:val="clear" w:color="000000" w:fill="FFFFFF"/>
            <w:vAlign w:val="center"/>
            <w:hideMark/>
          </w:tcPr>
          <w:p w14:paraId="4323FCF1" w14:textId="2D80C8BE" w:rsidR="00BA4F78" w:rsidRPr="001A3558" w:rsidRDefault="006F24FE">
            <w:pPr>
              <w:pStyle w:val="Sinespaciado"/>
              <w:jc w:val="center"/>
              <w:rPr>
                <w:color w:val="1F3864"/>
                <w:sz w:val="18"/>
                <w:szCs w:val="20"/>
                <w:lang w:eastAsia="es-CL"/>
              </w:rPr>
            </w:pPr>
            <w:r>
              <w:rPr>
                <w:color w:val="1F3864"/>
                <w:sz w:val="18"/>
                <w:szCs w:val="20"/>
                <w:lang w:eastAsia="es-CL"/>
              </w:rPr>
              <w:t>N°1001 de 14.02.20</w:t>
            </w:r>
          </w:p>
        </w:tc>
      </w:tr>
      <w:tr w:rsidR="00B8633F" w:rsidRPr="002A3533" w14:paraId="46B04826" w14:textId="77777777" w:rsidTr="00B8633F">
        <w:trPr>
          <w:trHeight w:val="330"/>
          <w:jc w:val="center"/>
        </w:trPr>
        <w:tc>
          <w:tcPr>
            <w:tcW w:w="3061" w:type="dxa"/>
            <w:tcBorders>
              <w:top w:val="nil"/>
              <w:left w:val="single" w:sz="12" w:space="0" w:color="FFFFFF"/>
              <w:bottom w:val="nil"/>
              <w:right w:val="single" w:sz="12" w:space="0" w:color="FFFFFF"/>
            </w:tcBorders>
            <w:shd w:val="clear" w:color="000000" w:fill="FFFFFF"/>
            <w:vAlign w:val="center"/>
            <w:hideMark/>
          </w:tcPr>
          <w:p w14:paraId="0F466933" w14:textId="2C9CC0CD" w:rsidR="00BA4F78" w:rsidRPr="002A3533" w:rsidRDefault="005A657F">
            <w:pPr>
              <w:pStyle w:val="Sinespaciado"/>
              <w:rPr>
                <w:color w:val="1F3864"/>
                <w:sz w:val="18"/>
                <w:szCs w:val="20"/>
                <w:lang w:eastAsia="es-CL"/>
              </w:rPr>
            </w:pPr>
            <w:r>
              <w:rPr>
                <w:sz w:val="18"/>
                <w:szCs w:val="20"/>
                <w:lang w:eastAsia="es-CL"/>
              </w:rPr>
              <w:t>Línea de efectos de comercio</w:t>
            </w:r>
          </w:p>
        </w:tc>
        <w:tc>
          <w:tcPr>
            <w:tcW w:w="2324" w:type="dxa"/>
            <w:tcBorders>
              <w:top w:val="nil"/>
              <w:left w:val="nil"/>
              <w:bottom w:val="nil"/>
              <w:right w:val="single" w:sz="12" w:space="0" w:color="FFFFFF"/>
            </w:tcBorders>
            <w:shd w:val="clear" w:color="000000" w:fill="FFFFFF"/>
            <w:vAlign w:val="center"/>
            <w:hideMark/>
          </w:tcPr>
          <w:p w14:paraId="1B3E78E2" w14:textId="3D89B0D1" w:rsidR="00BA4F78" w:rsidRPr="001A3558" w:rsidRDefault="005A657F">
            <w:pPr>
              <w:pStyle w:val="Sinespaciado"/>
              <w:jc w:val="center"/>
              <w:rPr>
                <w:color w:val="1F3864"/>
                <w:sz w:val="18"/>
                <w:szCs w:val="20"/>
                <w:lang w:eastAsia="es-CL"/>
              </w:rPr>
            </w:pPr>
            <w:r>
              <w:rPr>
                <w:color w:val="1F3864"/>
                <w:sz w:val="18"/>
                <w:szCs w:val="20"/>
                <w:lang w:eastAsia="es-CL"/>
              </w:rPr>
              <w:t>N°101 de 18.12.13</w:t>
            </w:r>
          </w:p>
        </w:tc>
      </w:tr>
    </w:tbl>
    <w:p w14:paraId="0C10CF7A" w14:textId="77777777" w:rsidR="00DC7EE9" w:rsidRDefault="00DC7EE9"/>
    <w:tbl>
      <w:tblPr>
        <w:tblW w:w="9746" w:type="dxa"/>
        <w:tblLayout w:type="fixed"/>
        <w:tblCellMar>
          <w:left w:w="70" w:type="dxa"/>
          <w:right w:w="70" w:type="dxa"/>
        </w:tblCellMar>
        <w:tblLook w:val="04A0" w:firstRow="1" w:lastRow="0" w:firstColumn="1" w:lastColumn="0" w:noHBand="0" w:noVBand="1"/>
      </w:tblPr>
      <w:tblGrid>
        <w:gridCol w:w="2331"/>
        <w:gridCol w:w="986"/>
        <w:gridCol w:w="205"/>
        <w:gridCol w:w="1123"/>
        <w:gridCol w:w="68"/>
        <w:gridCol w:w="1191"/>
        <w:gridCol w:w="69"/>
        <w:gridCol w:w="1122"/>
        <w:gridCol w:w="154"/>
        <w:gridCol w:w="1037"/>
        <w:gridCol w:w="239"/>
        <w:gridCol w:w="952"/>
        <w:gridCol w:w="269"/>
      </w:tblGrid>
      <w:tr w:rsidR="003F0D2C" w:rsidRPr="00565D55" w14:paraId="1AE46CAF" w14:textId="77777777" w:rsidTr="003F0D2C">
        <w:trPr>
          <w:gridAfter w:val="1"/>
          <w:wAfter w:w="269" w:type="dxa"/>
          <w:trHeight w:val="300"/>
        </w:trPr>
        <w:tc>
          <w:tcPr>
            <w:tcW w:w="9477" w:type="dxa"/>
            <w:gridSpan w:val="12"/>
            <w:tcBorders>
              <w:top w:val="nil"/>
              <w:left w:val="nil"/>
              <w:bottom w:val="nil"/>
              <w:right w:val="nil"/>
            </w:tcBorders>
            <w:shd w:val="clear" w:color="000000" w:fill="BB1823"/>
            <w:noWrap/>
            <w:vAlign w:val="center"/>
          </w:tcPr>
          <w:p w14:paraId="232699BB" w14:textId="54CD1AB9" w:rsidR="003F0D2C" w:rsidRPr="00565D55" w:rsidRDefault="003F0D2C" w:rsidP="003F0D2C">
            <w:pPr>
              <w:pStyle w:val="Sinespaciado"/>
              <w:rPr>
                <w:b/>
                <w:bCs/>
                <w:color w:val="FFFFFF" w:themeColor="background1"/>
                <w:sz w:val="18"/>
                <w:szCs w:val="18"/>
                <w:lang w:eastAsia="es-CL"/>
              </w:rPr>
            </w:pPr>
            <w:proofErr w:type="spellStart"/>
            <w:r w:rsidRPr="00565D55">
              <w:rPr>
                <w:b/>
                <w:bCs/>
                <w:color w:val="FFFFFF" w:themeColor="background1"/>
                <w:sz w:val="18"/>
                <w:szCs w:val="18"/>
                <w:lang w:eastAsia="es-CL"/>
              </w:rPr>
              <w:t>Estadosde</w:t>
            </w:r>
            <w:proofErr w:type="spellEnd"/>
            <w:r w:rsidRPr="00565D55">
              <w:rPr>
                <w:b/>
                <w:bCs/>
                <w:color w:val="FFFFFF" w:themeColor="background1"/>
                <w:sz w:val="18"/>
                <w:szCs w:val="18"/>
                <w:lang w:eastAsia="es-CL"/>
              </w:rPr>
              <w:t xml:space="preserve"> Resultados Consolidados IFRS</w:t>
            </w:r>
          </w:p>
        </w:tc>
      </w:tr>
      <w:tr w:rsidR="003F0D2C" w:rsidRPr="00565D55" w14:paraId="37EE12C5" w14:textId="77777777" w:rsidTr="003F0D2C">
        <w:trPr>
          <w:gridAfter w:val="1"/>
          <w:wAfter w:w="269" w:type="dxa"/>
          <w:trHeight w:val="300"/>
        </w:trPr>
        <w:tc>
          <w:tcPr>
            <w:tcW w:w="2331" w:type="dxa"/>
            <w:tcBorders>
              <w:top w:val="nil"/>
              <w:left w:val="nil"/>
              <w:bottom w:val="nil"/>
              <w:right w:val="nil"/>
            </w:tcBorders>
            <w:shd w:val="clear" w:color="000000" w:fill="BB1823"/>
            <w:noWrap/>
            <w:vAlign w:val="center"/>
            <w:hideMark/>
          </w:tcPr>
          <w:p w14:paraId="3E9D5275" w14:textId="77777777" w:rsidR="009D4686" w:rsidRPr="00565D55" w:rsidRDefault="009D4686" w:rsidP="00D83BC6">
            <w:pPr>
              <w:pStyle w:val="Sinespaciado"/>
              <w:jc w:val="center"/>
              <w:rPr>
                <w:b/>
                <w:bCs/>
                <w:color w:val="FFFFFF" w:themeColor="background1"/>
                <w:sz w:val="18"/>
                <w:szCs w:val="18"/>
                <w:lang w:eastAsia="es-CL"/>
              </w:rPr>
            </w:pPr>
            <w:r w:rsidRPr="00565D55">
              <w:rPr>
                <w:b/>
                <w:bCs/>
                <w:color w:val="FFFFFF" w:themeColor="background1"/>
                <w:sz w:val="18"/>
                <w:szCs w:val="18"/>
                <w:lang w:eastAsia="es-CL"/>
              </w:rPr>
              <w:t>M$ de cada año</w:t>
            </w:r>
          </w:p>
        </w:tc>
        <w:tc>
          <w:tcPr>
            <w:tcW w:w="1191" w:type="dxa"/>
            <w:gridSpan w:val="2"/>
            <w:tcBorders>
              <w:top w:val="nil"/>
              <w:left w:val="nil"/>
              <w:bottom w:val="nil"/>
              <w:right w:val="nil"/>
            </w:tcBorders>
            <w:shd w:val="clear" w:color="000000" w:fill="BB1823"/>
            <w:noWrap/>
            <w:vAlign w:val="center"/>
            <w:hideMark/>
          </w:tcPr>
          <w:p w14:paraId="347117BD" w14:textId="7C13C09E" w:rsidR="009D4686" w:rsidRPr="00565D55" w:rsidRDefault="009D4686" w:rsidP="00D83BC6">
            <w:pPr>
              <w:pStyle w:val="Sinespaciado"/>
              <w:jc w:val="center"/>
              <w:rPr>
                <w:b/>
                <w:bCs/>
                <w:color w:val="FFFFFF" w:themeColor="background1"/>
                <w:sz w:val="18"/>
                <w:szCs w:val="18"/>
                <w:lang w:eastAsia="es-CL"/>
              </w:rPr>
            </w:pPr>
            <w:r>
              <w:rPr>
                <w:b/>
                <w:bCs/>
                <w:color w:val="FFFFFF" w:themeColor="background1"/>
                <w:sz w:val="18"/>
                <w:szCs w:val="18"/>
                <w:lang w:eastAsia="es-CL"/>
              </w:rPr>
              <w:t>2017</w:t>
            </w:r>
          </w:p>
        </w:tc>
        <w:tc>
          <w:tcPr>
            <w:tcW w:w="1191" w:type="dxa"/>
            <w:gridSpan w:val="2"/>
            <w:tcBorders>
              <w:top w:val="nil"/>
              <w:left w:val="nil"/>
              <w:bottom w:val="nil"/>
              <w:right w:val="nil"/>
            </w:tcBorders>
            <w:shd w:val="clear" w:color="000000" w:fill="BB1823"/>
            <w:noWrap/>
            <w:vAlign w:val="center"/>
            <w:hideMark/>
          </w:tcPr>
          <w:p w14:paraId="71A88134" w14:textId="25EE46BB" w:rsidR="009D4686" w:rsidRPr="00565D55" w:rsidRDefault="009D4686" w:rsidP="00D83BC6">
            <w:pPr>
              <w:pStyle w:val="Sinespaciado"/>
              <w:jc w:val="center"/>
              <w:rPr>
                <w:b/>
                <w:bCs/>
                <w:color w:val="FFFFFF" w:themeColor="background1"/>
                <w:sz w:val="18"/>
                <w:szCs w:val="18"/>
                <w:lang w:eastAsia="es-CL"/>
              </w:rPr>
            </w:pPr>
            <w:r w:rsidRPr="00565D55">
              <w:rPr>
                <w:b/>
                <w:bCs/>
                <w:color w:val="FFFFFF" w:themeColor="background1"/>
                <w:sz w:val="18"/>
                <w:szCs w:val="18"/>
                <w:lang w:eastAsia="es-CL"/>
              </w:rPr>
              <w:t>201</w:t>
            </w:r>
            <w:r>
              <w:rPr>
                <w:b/>
                <w:bCs/>
                <w:color w:val="FFFFFF" w:themeColor="background1"/>
                <w:sz w:val="18"/>
                <w:szCs w:val="18"/>
                <w:lang w:eastAsia="es-CL"/>
              </w:rPr>
              <w:t>8</w:t>
            </w:r>
          </w:p>
        </w:tc>
        <w:tc>
          <w:tcPr>
            <w:tcW w:w="1191" w:type="dxa"/>
            <w:tcBorders>
              <w:top w:val="nil"/>
              <w:left w:val="nil"/>
              <w:bottom w:val="nil"/>
              <w:right w:val="nil"/>
            </w:tcBorders>
            <w:shd w:val="clear" w:color="000000" w:fill="BB1823"/>
            <w:noWrap/>
            <w:vAlign w:val="center"/>
            <w:hideMark/>
          </w:tcPr>
          <w:p w14:paraId="68719608" w14:textId="2B2E781C" w:rsidR="009D4686" w:rsidRPr="00565D55" w:rsidRDefault="009D4686" w:rsidP="00D83BC6">
            <w:pPr>
              <w:pStyle w:val="Sinespaciado"/>
              <w:jc w:val="center"/>
              <w:rPr>
                <w:b/>
                <w:bCs/>
                <w:color w:val="FFFFFF" w:themeColor="background1"/>
                <w:sz w:val="18"/>
                <w:szCs w:val="18"/>
                <w:lang w:eastAsia="es-CL"/>
              </w:rPr>
            </w:pPr>
            <w:r w:rsidRPr="00565D55">
              <w:rPr>
                <w:b/>
                <w:bCs/>
                <w:color w:val="FFFFFF" w:themeColor="background1"/>
                <w:sz w:val="18"/>
                <w:szCs w:val="18"/>
                <w:lang w:eastAsia="es-CL"/>
              </w:rPr>
              <w:t>20</w:t>
            </w:r>
            <w:r>
              <w:rPr>
                <w:b/>
                <w:bCs/>
                <w:color w:val="FFFFFF" w:themeColor="background1"/>
                <w:sz w:val="18"/>
                <w:szCs w:val="18"/>
                <w:lang w:eastAsia="es-CL"/>
              </w:rPr>
              <w:t>19</w:t>
            </w:r>
          </w:p>
        </w:tc>
        <w:tc>
          <w:tcPr>
            <w:tcW w:w="1191" w:type="dxa"/>
            <w:gridSpan w:val="2"/>
            <w:tcBorders>
              <w:top w:val="nil"/>
              <w:left w:val="nil"/>
              <w:bottom w:val="nil"/>
              <w:right w:val="nil"/>
            </w:tcBorders>
            <w:shd w:val="clear" w:color="000000" w:fill="BB1823"/>
            <w:noWrap/>
            <w:vAlign w:val="center"/>
            <w:hideMark/>
          </w:tcPr>
          <w:p w14:paraId="6895B1B5" w14:textId="6612C395" w:rsidR="009D4686" w:rsidRPr="00565D55" w:rsidRDefault="009D4686" w:rsidP="00D83BC6">
            <w:pPr>
              <w:pStyle w:val="Sinespaciado"/>
              <w:jc w:val="center"/>
              <w:rPr>
                <w:b/>
                <w:bCs/>
                <w:color w:val="FFFFFF" w:themeColor="background1"/>
                <w:sz w:val="18"/>
                <w:szCs w:val="18"/>
                <w:lang w:eastAsia="es-CL"/>
              </w:rPr>
            </w:pPr>
            <w:r w:rsidRPr="00565D55">
              <w:rPr>
                <w:b/>
                <w:bCs/>
                <w:color w:val="FFFFFF" w:themeColor="background1"/>
                <w:sz w:val="18"/>
                <w:szCs w:val="18"/>
                <w:lang w:eastAsia="es-CL"/>
              </w:rPr>
              <w:t>20</w:t>
            </w:r>
            <w:r>
              <w:rPr>
                <w:b/>
                <w:bCs/>
                <w:color w:val="FFFFFF" w:themeColor="background1"/>
                <w:sz w:val="18"/>
                <w:szCs w:val="18"/>
                <w:lang w:eastAsia="es-CL"/>
              </w:rPr>
              <w:t>20</w:t>
            </w:r>
          </w:p>
        </w:tc>
        <w:tc>
          <w:tcPr>
            <w:tcW w:w="1191" w:type="dxa"/>
            <w:gridSpan w:val="2"/>
            <w:tcBorders>
              <w:top w:val="nil"/>
              <w:left w:val="nil"/>
              <w:bottom w:val="nil"/>
              <w:right w:val="nil"/>
            </w:tcBorders>
            <w:shd w:val="clear" w:color="000000" w:fill="BB1823"/>
            <w:noWrap/>
            <w:vAlign w:val="center"/>
            <w:hideMark/>
          </w:tcPr>
          <w:p w14:paraId="51CF4FCF" w14:textId="2F7E200C" w:rsidR="009D4686" w:rsidRPr="00565D55" w:rsidRDefault="009D4686" w:rsidP="00D83BC6">
            <w:pPr>
              <w:pStyle w:val="Sinespaciado"/>
              <w:jc w:val="center"/>
              <w:rPr>
                <w:b/>
                <w:bCs/>
                <w:color w:val="FFFFFF" w:themeColor="background1"/>
                <w:sz w:val="18"/>
                <w:szCs w:val="18"/>
                <w:lang w:eastAsia="es-CL"/>
              </w:rPr>
            </w:pPr>
            <w:r w:rsidRPr="00565D55">
              <w:rPr>
                <w:b/>
                <w:bCs/>
                <w:color w:val="FFFFFF" w:themeColor="background1"/>
                <w:sz w:val="18"/>
                <w:szCs w:val="18"/>
                <w:lang w:eastAsia="es-CL"/>
              </w:rPr>
              <w:t>202</w:t>
            </w:r>
            <w:r>
              <w:rPr>
                <w:b/>
                <w:bCs/>
                <w:color w:val="FFFFFF" w:themeColor="background1"/>
                <w:sz w:val="18"/>
                <w:szCs w:val="18"/>
                <w:lang w:eastAsia="es-CL"/>
              </w:rPr>
              <w:t>1</w:t>
            </w:r>
          </w:p>
        </w:tc>
        <w:tc>
          <w:tcPr>
            <w:tcW w:w="1191" w:type="dxa"/>
            <w:gridSpan w:val="2"/>
            <w:tcBorders>
              <w:top w:val="nil"/>
              <w:left w:val="nil"/>
              <w:bottom w:val="nil"/>
              <w:right w:val="nil"/>
            </w:tcBorders>
            <w:shd w:val="clear" w:color="000000" w:fill="BB1823"/>
            <w:noWrap/>
            <w:vAlign w:val="center"/>
            <w:hideMark/>
          </w:tcPr>
          <w:p w14:paraId="193596FC" w14:textId="5FF78F22" w:rsidR="009D4686" w:rsidRPr="00565D55" w:rsidRDefault="009D4686" w:rsidP="00D83BC6">
            <w:pPr>
              <w:pStyle w:val="Sinespaciado"/>
              <w:jc w:val="center"/>
              <w:rPr>
                <w:b/>
                <w:bCs/>
                <w:color w:val="FFFFFF" w:themeColor="background1"/>
                <w:sz w:val="18"/>
                <w:szCs w:val="18"/>
                <w:lang w:eastAsia="es-CL"/>
              </w:rPr>
            </w:pPr>
            <w:r w:rsidRPr="00565D55">
              <w:rPr>
                <w:b/>
                <w:bCs/>
                <w:color w:val="FFFFFF" w:themeColor="background1"/>
                <w:sz w:val="18"/>
                <w:szCs w:val="18"/>
                <w:lang w:eastAsia="es-CL"/>
              </w:rPr>
              <w:t>mar-2</w:t>
            </w:r>
            <w:r>
              <w:rPr>
                <w:b/>
                <w:bCs/>
                <w:color w:val="FFFFFF" w:themeColor="background1"/>
                <w:sz w:val="18"/>
                <w:szCs w:val="18"/>
                <w:lang w:eastAsia="es-CL"/>
              </w:rPr>
              <w:t>2</w:t>
            </w:r>
          </w:p>
        </w:tc>
      </w:tr>
      <w:tr w:rsidR="003F0D2C" w:rsidRPr="00565D55" w14:paraId="1607C33C" w14:textId="77777777" w:rsidTr="003F0D2C">
        <w:trPr>
          <w:gridAfter w:val="1"/>
          <w:wAfter w:w="269" w:type="dxa"/>
          <w:trHeight w:val="300"/>
        </w:trPr>
        <w:tc>
          <w:tcPr>
            <w:tcW w:w="2331" w:type="dxa"/>
            <w:tcBorders>
              <w:top w:val="nil"/>
              <w:left w:val="nil"/>
              <w:bottom w:val="nil"/>
              <w:right w:val="nil"/>
            </w:tcBorders>
            <w:shd w:val="clear" w:color="000000" w:fill="BB1823"/>
            <w:noWrap/>
            <w:vAlign w:val="center"/>
            <w:hideMark/>
          </w:tcPr>
          <w:p w14:paraId="4352E582" w14:textId="5A637013" w:rsidR="003F0D2C" w:rsidRPr="00565D55" w:rsidRDefault="003F0D2C" w:rsidP="003F0D2C">
            <w:pPr>
              <w:pStyle w:val="Sinespaciado"/>
              <w:rPr>
                <w:color w:val="FFFFFF" w:themeColor="background1"/>
                <w:sz w:val="18"/>
                <w:szCs w:val="18"/>
                <w:lang w:eastAsia="es-CL"/>
              </w:rPr>
            </w:pPr>
            <w:r w:rsidRPr="00565D55">
              <w:rPr>
                <w:color w:val="FFFFFF" w:themeColor="background1"/>
                <w:sz w:val="18"/>
                <w:szCs w:val="18"/>
                <w:lang w:eastAsia="es-CL"/>
              </w:rPr>
              <w:t xml:space="preserve">Ingresos </w:t>
            </w:r>
            <w:r>
              <w:rPr>
                <w:color w:val="FFFFFF" w:themeColor="background1"/>
                <w:sz w:val="18"/>
                <w:szCs w:val="18"/>
                <w:lang w:eastAsia="es-CL"/>
              </w:rPr>
              <w:t>operacionales</w:t>
            </w:r>
            <w:r w:rsidRPr="00565D55">
              <w:rPr>
                <w:color w:val="FFFFFF" w:themeColor="background1"/>
                <w:sz w:val="18"/>
                <w:szCs w:val="18"/>
                <w:lang w:eastAsia="es-CL"/>
              </w:rPr>
              <w:t xml:space="preserve"> </w:t>
            </w:r>
          </w:p>
        </w:tc>
        <w:tc>
          <w:tcPr>
            <w:tcW w:w="1191" w:type="dxa"/>
            <w:gridSpan w:val="2"/>
            <w:tcBorders>
              <w:top w:val="nil"/>
              <w:left w:val="nil"/>
              <w:bottom w:val="nil"/>
              <w:right w:val="nil"/>
            </w:tcBorders>
            <w:shd w:val="clear" w:color="auto" w:fill="auto"/>
            <w:noWrap/>
            <w:vAlign w:val="center"/>
          </w:tcPr>
          <w:p w14:paraId="5E3B932D" w14:textId="144C4E1C" w:rsidR="003F0D2C" w:rsidRPr="00565D55" w:rsidRDefault="003F0D2C" w:rsidP="003F0D2C">
            <w:pPr>
              <w:pStyle w:val="Sinespaciado"/>
              <w:jc w:val="center"/>
              <w:rPr>
                <w:sz w:val="18"/>
                <w:szCs w:val="18"/>
                <w:lang w:eastAsia="es-CL"/>
              </w:rPr>
            </w:pPr>
            <w:r>
              <w:rPr>
                <w:rFonts w:cs="Arial"/>
                <w:color w:val="333D6B"/>
                <w:sz w:val="18"/>
                <w:szCs w:val="18"/>
              </w:rPr>
              <w:t>127.880.015</w:t>
            </w:r>
          </w:p>
        </w:tc>
        <w:tc>
          <w:tcPr>
            <w:tcW w:w="1191" w:type="dxa"/>
            <w:gridSpan w:val="2"/>
            <w:tcBorders>
              <w:top w:val="nil"/>
              <w:left w:val="nil"/>
              <w:bottom w:val="nil"/>
              <w:right w:val="nil"/>
            </w:tcBorders>
            <w:shd w:val="clear" w:color="auto" w:fill="auto"/>
            <w:noWrap/>
            <w:vAlign w:val="center"/>
          </w:tcPr>
          <w:p w14:paraId="2E8A1538" w14:textId="4E5D3893" w:rsidR="003F0D2C" w:rsidRPr="00565D55" w:rsidRDefault="003F0D2C" w:rsidP="003F0D2C">
            <w:pPr>
              <w:pStyle w:val="Sinespaciado"/>
              <w:jc w:val="center"/>
              <w:rPr>
                <w:sz w:val="18"/>
                <w:szCs w:val="18"/>
                <w:lang w:eastAsia="es-CL"/>
              </w:rPr>
            </w:pPr>
            <w:r>
              <w:rPr>
                <w:rFonts w:cs="Arial"/>
                <w:color w:val="333D6B"/>
                <w:sz w:val="18"/>
                <w:szCs w:val="18"/>
              </w:rPr>
              <w:t>112.829.589</w:t>
            </w:r>
          </w:p>
        </w:tc>
        <w:tc>
          <w:tcPr>
            <w:tcW w:w="1191" w:type="dxa"/>
            <w:tcBorders>
              <w:top w:val="nil"/>
              <w:left w:val="nil"/>
              <w:bottom w:val="nil"/>
              <w:right w:val="nil"/>
            </w:tcBorders>
            <w:shd w:val="clear" w:color="auto" w:fill="auto"/>
            <w:noWrap/>
            <w:vAlign w:val="center"/>
          </w:tcPr>
          <w:p w14:paraId="025CC017" w14:textId="69504647" w:rsidR="003F0D2C" w:rsidRPr="00565D55" w:rsidRDefault="003F0D2C" w:rsidP="003F0D2C">
            <w:pPr>
              <w:pStyle w:val="Sinespaciado"/>
              <w:jc w:val="center"/>
              <w:rPr>
                <w:sz w:val="18"/>
                <w:szCs w:val="18"/>
                <w:lang w:eastAsia="es-CL"/>
              </w:rPr>
            </w:pPr>
            <w:r>
              <w:rPr>
                <w:rFonts w:cs="Arial"/>
                <w:color w:val="333D6B"/>
                <w:sz w:val="18"/>
                <w:szCs w:val="18"/>
              </w:rPr>
              <w:t>107.325.835</w:t>
            </w:r>
          </w:p>
        </w:tc>
        <w:tc>
          <w:tcPr>
            <w:tcW w:w="1191" w:type="dxa"/>
            <w:gridSpan w:val="2"/>
            <w:tcBorders>
              <w:top w:val="nil"/>
              <w:left w:val="nil"/>
              <w:bottom w:val="nil"/>
              <w:right w:val="nil"/>
            </w:tcBorders>
            <w:shd w:val="clear" w:color="auto" w:fill="auto"/>
            <w:noWrap/>
            <w:vAlign w:val="center"/>
          </w:tcPr>
          <w:p w14:paraId="3B41F56B" w14:textId="47A4FAB1" w:rsidR="003F0D2C" w:rsidRPr="00565D55" w:rsidRDefault="003F0D2C" w:rsidP="003F0D2C">
            <w:pPr>
              <w:pStyle w:val="Sinespaciado"/>
              <w:jc w:val="center"/>
              <w:rPr>
                <w:sz w:val="18"/>
                <w:szCs w:val="18"/>
                <w:lang w:eastAsia="es-CL"/>
              </w:rPr>
            </w:pPr>
            <w:r>
              <w:rPr>
                <w:rFonts w:cs="Arial"/>
                <w:color w:val="333D6B"/>
                <w:sz w:val="18"/>
                <w:szCs w:val="18"/>
              </w:rPr>
              <w:t>94.201.915</w:t>
            </w:r>
          </w:p>
        </w:tc>
        <w:tc>
          <w:tcPr>
            <w:tcW w:w="1191" w:type="dxa"/>
            <w:gridSpan w:val="2"/>
            <w:tcBorders>
              <w:top w:val="nil"/>
              <w:left w:val="nil"/>
              <w:bottom w:val="nil"/>
              <w:right w:val="nil"/>
            </w:tcBorders>
            <w:shd w:val="clear" w:color="auto" w:fill="auto"/>
            <w:noWrap/>
            <w:vAlign w:val="center"/>
          </w:tcPr>
          <w:p w14:paraId="6C70D327" w14:textId="1F323D88" w:rsidR="003F0D2C" w:rsidRPr="00565D55" w:rsidRDefault="003F0D2C" w:rsidP="003F0D2C">
            <w:pPr>
              <w:pStyle w:val="Sinespaciado"/>
              <w:jc w:val="center"/>
              <w:rPr>
                <w:sz w:val="18"/>
                <w:szCs w:val="18"/>
                <w:lang w:eastAsia="es-CL"/>
              </w:rPr>
            </w:pPr>
            <w:r>
              <w:rPr>
                <w:rFonts w:cs="Arial"/>
                <w:color w:val="333D6B"/>
                <w:sz w:val="18"/>
                <w:szCs w:val="18"/>
              </w:rPr>
              <w:t>79.888.680</w:t>
            </w:r>
          </w:p>
        </w:tc>
        <w:tc>
          <w:tcPr>
            <w:tcW w:w="1191" w:type="dxa"/>
            <w:gridSpan w:val="2"/>
            <w:tcBorders>
              <w:top w:val="nil"/>
              <w:left w:val="nil"/>
              <w:bottom w:val="nil"/>
              <w:right w:val="nil"/>
            </w:tcBorders>
            <w:shd w:val="clear" w:color="auto" w:fill="auto"/>
            <w:noWrap/>
            <w:vAlign w:val="center"/>
          </w:tcPr>
          <w:p w14:paraId="3F616260" w14:textId="656F4D17" w:rsidR="003F0D2C" w:rsidRPr="00565D55" w:rsidRDefault="003F0D2C" w:rsidP="003F0D2C">
            <w:pPr>
              <w:pStyle w:val="Sinespaciado"/>
              <w:jc w:val="center"/>
              <w:rPr>
                <w:sz w:val="18"/>
                <w:szCs w:val="18"/>
                <w:lang w:eastAsia="es-CL"/>
              </w:rPr>
            </w:pPr>
            <w:r>
              <w:rPr>
                <w:rFonts w:cs="Arial"/>
                <w:color w:val="333D6B"/>
                <w:sz w:val="18"/>
                <w:szCs w:val="18"/>
              </w:rPr>
              <w:t>20.657.581</w:t>
            </w:r>
          </w:p>
        </w:tc>
      </w:tr>
      <w:tr w:rsidR="003F0D2C" w:rsidRPr="00565D55" w14:paraId="7668D213" w14:textId="77777777" w:rsidTr="003F0D2C">
        <w:trPr>
          <w:gridAfter w:val="1"/>
          <w:wAfter w:w="269" w:type="dxa"/>
          <w:trHeight w:val="300"/>
        </w:trPr>
        <w:tc>
          <w:tcPr>
            <w:tcW w:w="2331" w:type="dxa"/>
            <w:tcBorders>
              <w:top w:val="dotted" w:sz="4" w:space="0" w:color="E6344B"/>
              <w:left w:val="nil"/>
              <w:bottom w:val="dotted" w:sz="4" w:space="0" w:color="E6344B"/>
              <w:right w:val="nil"/>
            </w:tcBorders>
            <w:shd w:val="clear" w:color="000000" w:fill="BB1823"/>
            <w:noWrap/>
            <w:vAlign w:val="center"/>
            <w:hideMark/>
          </w:tcPr>
          <w:p w14:paraId="42D99DC7" w14:textId="07E73A19" w:rsidR="003F0D2C" w:rsidRPr="00565D55" w:rsidRDefault="003F0D2C" w:rsidP="003F0D2C">
            <w:pPr>
              <w:pStyle w:val="Sinespaciado"/>
              <w:rPr>
                <w:color w:val="FFFFFF" w:themeColor="background1"/>
                <w:sz w:val="18"/>
                <w:szCs w:val="18"/>
                <w:lang w:eastAsia="es-CL"/>
              </w:rPr>
            </w:pPr>
            <w:r w:rsidRPr="00565D55">
              <w:rPr>
                <w:color w:val="FFFFFF" w:themeColor="background1"/>
                <w:sz w:val="18"/>
                <w:szCs w:val="18"/>
                <w:lang w:eastAsia="es-CL"/>
              </w:rPr>
              <w:t xml:space="preserve">Gastos </w:t>
            </w:r>
            <w:r>
              <w:rPr>
                <w:color w:val="FFFFFF" w:themeColor="background1"/>
                <w:sz w:val="18"/>
                <w:szCs w:val="18"/>
                <w:lang w:eastAsia="es-CL"/>
              </w:rPr>
              <w:t>por intereses y reajustes</w:t>
            </w:r>
          </w:p>
        </w:tc>
        <w:tc>
          <w:tcPr>
            <w:tcW w:w="1191" w:type="dxa"/>
            <w:gridSpan w:val="2"/>
            <w:tcBorders>
              <w:top w:val="dotted" w:sz="4" w:space="0" w:color="E6344B"/>
              <w:left w:val="nil"/>
              <w:bottom w:val="dotted" w:sz="4" w:space="0" w:color="E6344B"/>
              <w:right w:val="nil"/>
            </w:tcBorders>
            <w:shd w:val="clear" w:color="auto" w:fill="auto"/>
            <w:noWrap/>
            <w:vAlign w:val="center"/>
          </w:tcPr>
          <w:p w14:paraId="3186B1FC" w14:textId="79ED5E84" w:rsidR="003F0D2C" w:rsidRPr="00565D55" w:rsidRDefault="003F0D2C" w:rsidP="003F0D2C">
            <w:pPr>
              <w:pStyle w:val="Sinespaciado"/>
              <w:jc w:val="center"/>
              <w:rPr>
                <w:sz w:val="18"/>
                <w:szCs w:val="18"/>
                <w:lang w:eastAsia="es-CL"/>
              </w:rPr>
            </w:pPr>
            <w:r>
              <w:rPr>
                <w:rFonts w:cs="Arial"/>
                <w:color w:val="333D6B"/>
                <w:sz w:val="18"/>
                <w:szCs w:val="18"/>
              </w:rPr>
              <w:t>-27.635.207</w:t>
            </w:r>
          </w:p>
        </w:tc>
        <w:tc>
          <w:tcPr>
            <w:tcW w:w="1191" w:type="dxa"/>
            <w:gridSpan w:val="2"/>
            <w:tcBorders>
              <w:top w:val="dotted" w:sz="4" w:space="0" w:color="E6344B"/>
              <w:left w:val="nil"/>
              <w:bottom w:val="dotted" w:sz="4" w:space="0" w:color="E6344B"/>
              <w:right w:val="nil"/>
            </w:tcBorders>
            <w:shd w:val="clear" w:color="auto" w:fill="auto"/>
            <w:noWrap/>
            <w:vAlign w:val="center"/>
          </w:tcPr>
          <w:p w14:paraId="1766F075" w14:textId="224FF520" w:rsidR="003F0D2C" w:rsidRPr="00565D55" w:rsidRDefault="003F0D2C" w:rsidP="003F0D2C">
            <w:pPr>
              <w:pStyle w:val="Sinespaciado"/>
              <w:jc w:val="center"/>
              <w:rPr>
                <w:sz w:val="18"/>
                <w:szCs w:val="18"/>
                <w:lang w:eastAsia="es-CL"/>
              </w:rPr>
            </w:pPr>
            <w:r>
              <w:rPr>
                <w:rFonts w:cs="Arial"/>
                <w:color w:val="333D6B"/>
                <w:sz w:val="18"/>
                <w:szCs w:val="18"/>
              </w:rPr>
              <w:t>-25.702.264</w:t>
            </w:r>
          </w:p>
        </w:tc>
        <w:tc>
          <w:tcPr>
            <w:tcW w:w="1191" w:type="dxa"/>
            <w:tcBorders>
              <w:top w:val="dotted" w:sz="4" w:space="0" w:color="E6344B"/>
              <w:left w:val="nil"/>
              <w:bottom w:val="dotted" w:sz="4" w:space="0" w:color="E6344B"/>
              <w:right w:val="nil"/>
            </w:tcBorders>
            <w:shd w:val="clear" w:color="auto" w:fill="auto"/>
            <w:noWrap/>
            <w:vAlign w:val="center"/>
          </w:tcPr>
          <w:p w14:paraId="63237F29" w14:textId="707B9A2C" w:rsidR="003F0D2C" w:rsidRPr="00565D55" w:rsidRDefault="003F0D2C" w:rsidP="003F0D2C">
            <w:pPr>
              <w:pStyle w:val="Sinespaciado"/>
              <w:jc w:val="center"/>
              <w:rPr>
                <w:sz w:val="18"/>
                <w:szCs w:val="18"/>
                <w:lang w:eastAsia="es-CL"/>
              </w:rPr>
            </w:pPr>
            <w:r>
              <w:rPr>
                <w:rFonts w:cs="Arial"/>
                <w:color w:val="333D6B"/>
                <w:sz w:val="18"/>
                <w:szCs w:val="18"/>
              </w:rPr>
              <w:t>-25.142.758</w:t>
            </w:r>
          </w:p>
        </w:tc>
        <w:tc>
          <w:tcPr>
            <w:tcW w:w="1191" w:type="dxa"/>
            <w:gridSpan w:val="2"/>
            <w:tcBorders>
              <w:top w:val="dotted" w:sz="4" w:space="0" w:color="E6344B"/>
              <w:left w:val="nil"/>
              <w:bottom w:val="dotted" w:sz="4" w:space="0" w:color="E6344B"/>
              <w:right w:val="nil"/>
            </w:tcBorders>
            <w:shd w:val="clear" w:color="auto" w:fill="auto"/>
            <w:noWrap/>
            <w:vAlign w:val="center"/>
          </w:tcPr>
          <w:p w14:paraId="63D22CBF" w14:textId="50D68A1C" w:rsidR="003F0D2C" w:rsidRPr="00565D55" w:rsidRDefault="003F0D2C" w:rsidP="003F0D2C">
            <w:pPr>
              <w:pStyle w:val="Sinespaciado"/>
              <w:jc w:val="center"/>
              <w:rPr>
                <w:sz w:val="18"/>
                <w:szCs w:val="18"/>
                <w:lang w:eastAsia="es-CL"/>
              </w:rPr>
            </w:pPr>
            <w:r>
              <w:rPr>
                <w:rFonts w:cs="Arial"/>
                <w:color w:val="333D6B"/>
                <w:sz w:val="18"/>
                <w:szCs w:val="18"/>
              </w:rPr>
              <w:t>-24.533.670</w:t>
            </w:r>
          </w:p>
        </w:tc>
        <w:tc>
          <w:tcPr>
            <w:tcW w:w="1191" w:type="dxa"/>
            <w:gridSpan w:val="2"/>
            <w:tcBorders>
              <w:top w:val="dotted" w:sz="4" w:space="0" w:color="E6344B"/>
              <w:left w:val="nil"/>
              <w:bottom w:val="dotted" w:sz="4" w:space="0" w:color="E6344B"/>
              <w:right w:val="nil"/>
            </w:tcBorders>
            <w:shd w:val="clear" w:color="auto" w:fill="auto"/>
            <w:noWrap/>
            <w:vAlign w:val="center"/>
          </w:tcPr>
          <w:p w14:paraId="110B87F6" w14:textId="517D4563" w:rsidR="003F0D2C" w:rsidRPr="00565D55" w:rsidRDefault="003F0D2C" w:rsidP="003F0D2C">
            <w:pPr>
              <w:pStyle w:val="Sinespaciado"/>
              <w:jc w:val="center"/>
              <w:rPr>
                <w:sz w:val="18"/>
                <w:szCs w:val="18"/>
                <w:lang w:eastAsia="es-CL"/>
              </w:rPr>
            </w:pPr>
            <w:r>
              <w:rPr>
                <w:rFonts w:cs="Arial"/>
                <w:color w:val="333D6B"/>
                <w:sz w:val="18"/>
                <w:szCs w:val="18"/>
              </w:rPr>
              <w:t>-23.248.767</w:t>
            </w:r>
          </w:p>
        </w:tc>
        <w:tc>
          <w:tcPr>
            <w:tcW w:w="1191" w:type="dxa"/>
            <w:gridSpan w:val="2"/>
            <w:tcBorders>
              <w:top w:val="dotted" w:sz="4" w:space="0" w:color="E6344B"/>
              <w:left w:val="nil"/>
              <w:bottom w:val="dotted" w:sz="4" w:space="0" w:color="E6344B"/>
              <w:right w:val="nil"/>
            </w:tcBorders>
            <w:shd w:val="clear" w:color="auto" w:fill="auto"/>
            <w:noWrap/>
            <w:vAlign w:val="center"/>
          </w:tcPr>
          <w:p w14:paraId="026BA36A" w14:textId="4DDBD269" w:rsidR="003F0D2C" w:rsidRPr="00565D55" w:rsidRDefault="003F0D2C" w:rsidP="003F0D2C">
            <w:pPr>
              <w:pStyle w:val="Sinespaciado"/>
              <w:jc w:val="center"/>
              <w:rPr>
                <w:sz w:val="18"/>
                <w:szCs w:val="18"/>
                <w:lang w:eastAsia="es-CL"/>
              </w:rPr>
            </w:pPr>
            <w:r>
              <w:rPr>
                <w:rFonts w:cs="Arial"/>
                <w:color w:val="333D6B"/>
                <w:sz w:val="18"/>
                <w:szCs w:val="18"/>
              </w:rPr>
              <w:t>-5.503.637</w:t>
            </w:r>
          </w:p>
        </w:tc>
      </w:tr>
      <w:tr w:rsidR="00BA557E" w:rsidRPr="00565D55" w14:paraId="2170E072" w14:textId="77777777" w:rsidTr="003F0D2C">
        <w:trPr>
          <w:gridAfter w:val="1"/>
          <w:wAfter w:w="269" w:type="dxa"/>
          <w:trHeight w:val="300"/>
        </w:trPr>
        <w:tc>
          <w:tcPr>
            <w:tcW w:w="2331" w:type="dxa"/>
            <w:tcBorders>
              <w:top w:val="dotted" w:sz="4" w:space="0" w:color="E6344B"/>
              <w:left w:val="nil"/>
              <w:bottom w:val="dotted" w:sz="4" w:space="0" w:color="E6344B"/>
              <w:right w:val="nil"/>
            </w:tcBorders>
            <w:shd w:val="clear" w:color="000000" w:fill="BB1823"/>
            <w:noWrap/>
            <w:vAlign w:val="center"/>
          </w:tcPr>
          <w:p w14:paraId="684E55EE" w14:textId="193F1CE3" w:rsidR="00BA557E" w:rsidRPr="00565D55" w:rsidRDefault="00BA557E" w:rsidP="00BA557E">
            <w:pPr>
              <w:pStyle w:val="Sinespaciado"/>
              <w:rPr>
                <w:color w:val="FFFFFF" w:themeColor="background1"/>
                <w:sz w:val="18"/>
                <w:szCs w:val="18"/>
                <w:lang w:eastAsia="es-CL"/>
              </w:rPr>
            </w:pPr>
            <w:r>
              <w:rPr>
                <w:color w:val="FFFFFF" w:themeColor="background1"/>
                <w:sz w:val="18"/>
                <w:szCs w:val="18"/>
                <w:lang w:eastAsia="es-CL"/>
              </w:rPr>
              <w:t>Utilidad (pérdida) del ejercicio</w:t>
            </w:r>
          </w:p>
        </w:tc>
        <w:tc>
          <w:tcPr>
            <w:tcW w:w="1191" w:type="dxa"/>
            <w:gridSpan w:val="2"/>
            <w:tcBorders>
              <w:top w:val="dotted" w:sz="4" w:space="0" w:color="E6344B"/>
              <w:left w:val="nil"/>
              <w:bottom w:val="dotted" w:sz="4" w:space="0" w:color="E6344B"/>
              <w:right w:val="nil"/>
            </w:tcBorders>
            <w:shd w:val="clear" w:color="auto" w:fill="auto"/>
            <w:noWrap/>
            <w:vAlign w:val="center"/>
          </w:tcPr>
          <w:p w14:paraId="2043769C" w14:textId="763B848D" w:rsidR="00BA557E" w:rsidRDefault="00BA557E" w:rsidP="00BA557E">
            <w:pPr>
              <w:pStyle w:val="Sinespaciado"/>
              <w:jc w:val="center"/>
              <w:rPr>
                <w:rFonts w:cs="Arial"/>
                <w:color w:val="333D6B"/>
                <w:sz w:val="18"/>
                <w:szCs w:val="18"/>
              </w:rPr>
            </w:pPr>
            <w:r>
              <w:rPr>
                <w:rFonts w:cs="Arial"/>
                <w:color w:val="333D6B"/>
                <w:sz w:val="18"/>
                <w:szCs w:val="18"/>
              </w:rPr>
              <w:t>2.788.018</w:t>
            </w:r>
          </w:p>
        </w:tc>
        <w:tc>
          <w:tcPr>
            <w:tcW w:w="1191" w:type="dxa"/>
            <w:gridSpan w:val="2"/>
            <w:tcBorders>
              <w:top w:val="dotted" w:sz="4" w:space="0" w:color="E6344B"/>
              <w:left w:val="nil"/>
              <w:bottom w:val="dotted" w:sz="4" w:space="0" w:color="E6344B"/>
              <w:right w:val="nil"/>
            </w:tcBorders>
            <w:shd w:val="clear" w:color="auto" w:fill="auto"/>
            <w:noWrap/>
            <w:vAlign w:val="center"/>
          </w:tcPr>
          <w:p w14:paraId="572A0EC5" w14:textId="6459114D" w:rsidR="00BA557E" w:rsidRDefault="00BA557E" w:rsidP="00BA557E">
            <w:pPr>
              <w:pStyle w:val="Sinespaciado"/>
              <w:jc w:val="center"/>
              <w:rPr>
                <w:rFonts w:cs="Arial"/>
                <w:color w:val="333D6B"/>
                <w:sz w:val="18"/>
                <w:szCs w:val="18"/>
              </w:rPr>
            </w:pPr>
            <w:r>
              <w:rPr>
                <w:rFonts w:cs="Arial"/>
                <w:color w:val="333D6B"/>
                <w:sz w:val="18"/>
                <w:szCs w:val="18"/>
              </w:rPr>
              <w:t>10.393.937</w:t>
            </w:r>
          </w:p>
        </w:tc>
        <w:tc>
          <w:tcPr>
            <w:tcW w:w="1191" w:type="dxa"/>
            <w:tcBorders>
              <w:top w:val="dotted" w:sz="4" w:space="0" w:color="E6344B"/>
              <w:left w:val="nil"/>
              <w:bottom w:val="dotted" w:sz="4" w:space="0" w:color="E6344B"/>
              <w:right w:val="nil"/>
            </w:tcBorders>
            <w:shd w:val="clear" w:color="auto" w:fill="auto"/>
            <w:noWrap/>
            <w:vAlign w:val="center"/>
          </w:tcPr>
          <w:p w14:paraId="03857C14" w14:textId="47F9AF62" w:rsidR="00BA557E" w:rsidRDefault="00BA557E" w:rsidP="00BA557E">
            <w:pPr>
              <w:pStyle w:val="Sinespaciado"/>
              <w:jc w:val="center"/>
              <w:rPr>
                <w:rFonts w:cs="Arial"/>
                <w:color w:val="333D6B"/>
                <w:sz w:val="18"/>
                <w:szCs w:val="18"/>
              </w:rPr>
            </w:pPr>
            <w:r>
              <w:rPr>
                <w:rFonts w:cs="Arial"/>
                <w:color w:val="333D6B"/>
                <w:sz w:val="18"/>
                <w:szCs w:val="18"/>
              </w:rPr>
              <w:t>15.248.778</w:t>
            </w:r>
          </w:p>
        </w:tc>
        <w:tc>
          <w:tcPr>
            <w:tcW w:w="1191" w:type="dxa"/>
            <w:gridSpan w:val="2"/>
            <w:tcBorders>
              <w:top w:val="dotted" w:sz="4" w:space="0" w:color="E6344B"/>
              <w:left w:val="nil"/>
              <w:bottom w:val="dotted" w:sz="4" w:space="0" w:color="E6344B"/>
              <w:right w:val="nil"/>
            </w:tcBorders>
            <w:shd w:val="clear" w:color="auto" w:fill="auto"/>
            <w:noWrap/>
            <w:vAlign w:val="center"/>
          </w:tcPr>
          <w:p w14:paraId="32F5BCF2" w14:textId="50CA1878" w:rsidR="00BA557E" w:rsidRDefault="00BA557E" w:rsidP="00BA557E">
            <w:pPr>
              <w:pStyle w:val="Sinespaciado"/>
              <w:jc w:val="center"/>
              <w:rPr>
                <w:rFonts w:cs="Arial"/>
                <w:color w:val="333D6B"/>
                <w:sz w:val="18"/>
                <w:szCs w:val="18"/>
              </w:rPr>
            </w:pPr>
            <w:r>
              <w:rPr>
                <w:rFonts w:cs="Arial"/>
                <w:color w:val="333D6B"/>
                <w:sz w:val="18"/>
                <w:szCs w:val="18"/>
              </w:rPr>
              <w:t>2.195.973</w:t>
            </w:r>
          </w:p>
        </w:tc>
        <w:tc>
          <w:tcPr>
            <w:tcW w:w="1191" w:type="dxa"/>
            <w:gridSpan w:val="2"/>
            <w:tcBorders>
              <w:top w:val="dotted" w:sz="4" w:space="0" w:color="E6344B"/>
              <w:left w:val="nil"/>
              <w:bottom w:val="dotted" w:sz="4" w:space="0" w:color="E6344B"/>
              <w:right w:val="nil"/>
            </w:tcBorders>
            <w:shd w:val="clear" w:color="auto" w:fill="auto"/>
            <w:noWrap/>
            <w:vAlign w:val="center"/>
          </w:tcPr>
          <w:p w14:paraId="185E53CD" w14:textId="74199393" w:rsidR="00BA557E" w:rsidRDefault="00BA557E" w:rsidP="00BA557E">
            <w:pPr>
              <w:pStyle w:val="Sinespaciado"/>
              <w:jc w:val="center"/>
              <w:rPr>
                <w:rFonts w:cs="Arial"/>
                <w:color w:val="333D6B"/>
                <w:sz w:val="18"/>
                <w:szCs w:val="18"/>
              </w:rPr>
            </w:pPr>
            <w:r>
              <w:rPr>
                <w:rFonts w:cs="Arial"/>
                <w:color w:val="333D6B"/>
                <w:sz w:val="18"/>
                <w:szCs w:val="18"/>
              </w:rPr>
              <w:t>5.015.179</w:t>
            </w:r>
          </w:p>
        </w:tc>
        <w:tc>
          <w:tcPr>
            <w:tcW w:w="1191" w:type="dxa"/>
            <w:gridSpan w:val="2"/>
            <w:tcBorders>
              <w:top w:val="dotted" w:sz="4" w:space="0" w:color="E6344B"/>
              <w:left w:val="nil"/>
              <w:bottom w:val="dotted" w:sz="4" w:space="0" w:color="E6344B"/>
              <w:right w:val="nil"/>
            </w:tcBorders>
            <w:shd w:val="clear" w:color="auto" w:fill="auto"/>
            <w:noWrap/>
            <w:vAlign w:val="center"/>
          </w:tcPr>
          <w:p w14:paraId="75C1A8AD" w14:textId="7266152E" w:rsidR="00BA557E" w:rsidRDefault="00694467" w:rsidP="00BA557E">
            <w:pPr>
              <w:pStyle w:val="Sinespaciado"/>
              <w:jc w:val="center"/>
              <w:rPr>
                <w:rFonts w:cs="Arial"/>
                <w:color w:val="333D6B"/>
                <w:sz w:val="18"/>
                <w:szCs w:val="18"/>
              </w:rPr>
            </w:pPr>
            <w:r>
              <w:rPr>
                <w:rFonts w:cs="Arial"/>
                <w:color w:val="333D6B"/>
                <w:sz w:val="18"/>
                <w:szCs w:val="18"/>
              </w:rPr>
              <w:t>-</w:t>
            </w:r>
            <w:r w:rsidR="00BA557E">
              <w:rPr>
                <w:rFonts w:cs="Arial"/>
                <w:color w:val="333D6B"/>
                <w:sz w:val="18"/>
                <w:szCs w:val="18"/>
              </w:rPr>
              <w:t>230.507</w:t>
            </w:r>
          </w:p>
        </w:tc>
      </w:tr>
      <w:tr w:rsidR="00B8633F" w:rsidRPr="00565D55" w14:paraId="281A8764" w14:textId="77777777" w:rsidTr="003F0D2C">
        <w:trPr>
          <w:trHeight w:val="300"/>
        </w:trPr>
        <w:tc>
          <w:tcPr>
            <w:tcW w:w="2331" w:type="dxa"/>
            <w:tcBorders>
              <w:top w:val="nil"/>
              <w:left w:val="nil"/>
              <w:bottom w:val="nil"/>
              <w:right w:val="nil"/>
            </w:tcBorders>
            <w:shd w:val="clear" w:color="auto" w:fill="auto"/>
            <w:noWrap/>
            <w:vAlign w:val="center"/>
          </w:tcPr>
          <w:p w14:paraId="0CE3C4A3" w14:textId="2B7E2556" w:rsidR="00B8633F" w:rsidRPr="00565D55" w:rsidRDefault="00B8633F" w:rsidP="00D83BC6">
            <w:pPr>
              <w:pStyle w:val="Sinespaciado"/>
              <w:jc w:val="right"/>
              <w:rPr>
                <w:rFonts w:eastAsia="Times New Roman" w:cs="Calibri"/>
                <w:color w:val="333D6B"/>
                <w:sz w:val="18"/>
                <w:szCs w:val="18"/>
                <w:lang w:eastAsia="es-CL"/>
              </w:rPr>
            </w:pPr>
          </w:p>
        </w:tc>
        <w:tc>
          <w:tcPr>
            <w:tcW w:w="986" w:type="dxa"/>
            <w:tcBorders>
              <w:top w:val="nil"/>
              <w:left w:val="nil"/>
              <w:bottom w:val="nil"/>
              <w:right w:val="nil"/>
            </w:tcBorders>
            <w:shd w:val="clear" w:color="auto" w:fill="auto"/>
            <w:noWrap/>
            <w:vAlign w:val="center"/>
          </w:tcPr>
          <w:p w14:paraId="18FB6900" w14:textId="77777777" w:rsidR="00B8633F" w:rsidRPr="00565D55" w:rsidRDefault="00B8633F" w:rsidP="00D83BC6">
            <w:pPr>
              <w:pStyle w:val="Sinespaciado"/>
              <w:jc w:val="right"/>
              <w:rPr>
                <w:rFonts w:eastAsia="Times New Roman" w:cs="Times New Roman"/>
                <w:color w:val="auto"/>
                <w:sz w:val="18"/>
                <w:szCs w:val="18"/>
                <w:lang w:eastAsia="es-CL"/>
              </w:rPr>
            </w:pPr>
          </w:p>
        </w:tc>
        <w:tc>
          <w:tcPr>
            <w:tcW w:w="1328" w:type="dxa"/>
            <w:gridSpan w:val="2"/>
            <w:tcBorders>
              <w:top w:val="nil"/>
              <w:left w:val="nil"/>
              <w:bottom w:val="nil"/>
              <w:right w:val="nil"/>
            </w:tcBorders>
            <w:shd w:val="clear" w:color="auto" w:fill="auto"/>
            <w:noWrap/>
            <w:vAlign w:val="center"/>
          </w:tcPr>
          <w:p w14:paraId="7FF7D8EC" w14:textId="77777777" w:rsidR="00B8633F" w:rsidRPr="00565D55" w:rsidRDefault="00B8633F" w:rsidP="00D83BC6">
            <w:pPr>
              <w:pStyle w:val="Sinespaciado"/>
              <w:jc w:val="right"/>
              <w:rPr>
                <w:rFonts w:eastAsia="Times New Roman" w:cs="Times New Roman"/>
                <w:color w:val="auto"/>
                <w:sz w:val="18"/>
                <w:szCs w:val="18"/>
                <w:lang w:eastAsia="es-CL"/>
              </w:rPr>
            </w:pPr>
          </w:p>
        </w:tc>
        <w:tc>
          <w:tcPr>
            <w:tcW w:w="1328" w:type="dxa"/>
            <w:gridSpan w:val="3"/>
            <w:tcBorders>
              <w:top w:val="nil"/>
              <w:left w:val="nil"/>
              <w:bottom w:val="nil"/>
              <w:right w:val="nil"/>
            </w:tcBorders>
            <w:shd w:val="clear" w:color="auto" w:fill="auto"/>
            <w:noWrap/>
            <w:vAlign w:val="center"/>
          </w:tcPr>
          <w:p w14:paraId="6249D137" w14:textId="77777777" w:rsidR="00B8633F" w:rsidRPr="00565D55" w:rsidRDefault="00B8633F" w:rsidP="00D83BC6">
            <w:pPr>
              <w:pStyle w:val="Sinespaciado"/>
              <w:jc w:val="right"/>
              <w:rPr>
                <w:rFonts w:eastAsia="Times New Roman" w:cs="Times New Roman"/>
                <w:color w:val="auto"/>
                <w:sz w:val="18"/>
                <w:szCs w:val="18"/>
                <w:lang w:eastAsia="es-CL"/>
              </w:rPr>
            </w:pPr>
          </w:p>
        </w:tc>
        <w:tc>
          <w:tcPr>
            <w:tcW w:w="1276" w:type="dxa"/>
            <w:gridSpan w:val="2"/>
            <w:tcBorders>
              <w:top w:val="nil"/>
              <w:left w:val="nil"/>
              <w:bottom w:val="nil"/>
              <w:right w:val="nil"/>
            </w:tcBorders>
            <w:shd w:val="clear" w:color="auto" w:fill="auto"/>
            <w:noWrap/>
            <w:vAlign w:val="center"/>
          </w:tcPr>
          <w:p w14:paraId="44EC1202" w14:textId="77777777" w:rsidR="00B8633F" w:rsidRPr="00565D55" w:rsidRDefault="00B8633F" w:rsidP="00D83BC6">
            <w:pPr>
              <w:pStyle w:val="Sinespaciado"/>
              <w:jc w:val="right"/>
              <w:rPr>
                <w:rFonts w:eastAsia="Times New Roman" w:cs="Times New Roman"/>
                <w:color w:val="auto"/>
                <w:sz w:val="18"/>
                <w:szCs w:val="18"/>
                <w:lang w:eastAsia="es-CL"/>
              </w:rPr>
            </w:pPr>
          </w:p>
        </w:tc>
        <w:tc>
          <w:tcPr>
            <w:tcW w:w="1276" w:type="dxa"/>
            <w:gridSpan w:val="2"/>
            <w:tcBorders>
              <w:top w:val="nil"/>
              <w:left w:val="nil"/>
              <w:bottom w:val="nil"/>
              <w:right w:val="nil"/>
            </w:tcBorders>
            <w:shd w:val="clear" w:color="auto" w:fill="auto"/>
            <w:noWrap/>
            <w:vAlign w:val="center"/>
          </w:tcPr>
          <w:p w14:paraId="2F7BA733" w14:textId="77777777" w:rsidR="00B8633F" w:rsidRPr="00565D55" w:rsidRDefault="00B8633F" w:rsidP="00D83BC6">
            <w:pPr>
              <w:pStyle w:val="Sinespaciado"/>
              <w:jc w:val="right"/>
              <w:rPr>
                <w:rFonts w:eastAsia="Times New Roman" w:cs="Times New Roman"/>
                <w:color w:val="auto"/>
                <w:sz w:val="18"/>
                <w:szCs w:val="18"/>
                <w:lang w:eastAsia="es-CL"/>
              </w:rPr>
            </w:pPr>
          </w:p>
        </w:tc>
        <w:tc>
          <w:tcPr>
            <w:tcW w:w="1221" w:type="dxa"/>
            <w:gridSpan w:val="2"/>
            <w:tcBorders>
              <w:top w:val="nil"/>
              <w:left w:val="nil"/>
              <w:bottom w:val="nil"/>
              <w:right w:val="nil"/>
            </w:tcBorders>
            <w:shd w:val="clear" w:color="auto" w:fill="auto"/>
            <w:noWrap/>
            <w:vAlign w:val="center"/>
          </w:tcPr>
          <w:p w14:paraId="35CA2C84" w14:textId="77777777" w:rsidR="00B8633F" w:rsidRPr="00565D55" w:rsidRDefault="00B8633F" w:rsidP="00D83BC6">
            <w:pPr>
              <w:pStyle w:val="Sinespaciado"/>
              <w:jc w:val="right"/>
              <w:rPr>
                <w:rFonts w:eastAsia="Times New Roman" w:cs="Times New Roman"/>
                <w:color w:val="auto"/>
                <w:sz w:val="18"/>
                <w:szCs w:val="18"/>
                <w:lang w:eastAsia="es-CL"/>
              </w:rPr>
            </w:pPr>
          </w:p>
        </w:tc>
      </w:tr>
      <w:tr w:rsidR="00BA557E" w:rsidRPr="00565D55" w14:paraId="516C18C9" w14:textId="77777777" w:rsidTr="00BA557E">
        <w:trPr>
          <w:gridAfter w:val="1"/>
          <w:wAfter w:w="269" w:type="dxa"/>
          <w:trHeight w:val="300"/>
        </w:trPr>
        <w:tc>
          <w:tcPr>
            <w:tcW w:w="9477" w:type="dxa"/>
            <w:gridSpan w:val="12"/>
            <w:tcBorders>
              <w:top w:val="nil"/>
              <w:left w:val="nil"/>
              <w:bottom w:val="nil"/>
              <w:right w:val="nil"/>
            </w:tcBorders>
            <w:shd w:val="clear" w:color="000000" w:fill="BB1823"/>
            <w:noWrap/>
            <w:vAlign w:val="center"/>
          </w:tcPr>
          <w:p w14:paraId="71C94515" w14:textId="5D136FE3" w:rsidR="00BA557E" w:rsidRPr="00BA557E" w:rsidRDefault="00BA557E" w:rsidP="00BA557E">
            <w:pPr>
              <w:pStyle w:val="Sinespaciado"/>
              <w:rPr>
                <w:rFonts w:eastAsia="Times New Roman" w:cs="Calibri"/>
                <w:b/>
                <w:bCs/>
                <w:color w:val="FFFFFF"/>
                <w:sz w:val="18"/>
                <w:szCs w:val="18"/>
                <w:highlight w:val="yellow"/>
                <w:lang w:eastAsia="es-CL"/>
              </w:rPr>
            </w:pPr>
            <w:r>
              <w:rPr>
                <w:rFonts w:eastAsia="Times New Roman" w:cs="Calibri"/>
                <w:b/>
                <w:bCs/>
                <w:color w:val="FFFFFF"/>
                <w:sz w:val="18"/>
                <w:szCs w:val="18"/>
                <w:lang w:eastAsia="es-CL"/>
              </w:rPr>
              <w:t>Estado de Situación Financiera Consolidados IFRS</w:t>
            </w:r>
          </w:p>
        </w:tc>
      </w:tr>
      <w:tr w:rsidR="003F0D2C" w:rsidRPr="00565D55" w14:paraId="0CB33B20" w14:textId="77777777" w:rsidTr="003F0D2C">
        <w:trPr>
          <w:gridAfter w:val="1"/>
          <w:wAfter w:w="269" w:type="dxa"/>
          <w:trHeight w:val="300"/>
        </w:trPr>
        <w:tc>
          <w:tcPr>
            <w:tcW w:w="2331" w:type="dxa"/>
            <w:tcBorders>
              <w:top w:val="nil"/>
              <w:left w:val="nil"/>
              <w:bottom w:val="nil"/>
              <w:right w:val="nil"/>
            </w:tcBorders>
            <w:shd w:val="clear" w:color="000000" w:fill="BB1823"/>
            <w:noWrap/>
            <w:vAlign w:val="center"/>
            <w:hideMark/>
          </w:tcPr>
          <w:p w14:paraId="7494F3EF" w14:textId="77777777" w:rsidR="009D4686" w:rsidRPr="00565D55" w:rsidRDefault="009D4686" w:rsidP="00D83BC6">
            <w:pPr>
              <w:pStyle w:val="Sinespaciado"/>
              <w:jc w:val="center"/>
              <w:rPr>
                <w:rFonts w:eastAsia="Times New Roman" w:cs="Calibri"/>
                <w:b/>
                <w:bCs/>
                <w:color w:val="FFFFFF"/>
                <w:sz w:val="18"/>
                <w:szCs w:val="18"/>
                <w:lang w:eastAsia="es-CL"/>
              </w:rPr>
            </w:pPr>
            <w:r w:rsidRPr="00565D55">
              <w:rPr>
                <w:rFonts w:eastAsia="Times New Roman" w:cs="Calibri"/>
                <w:b/>
                <w:bCs/>
                <w:color w:val="FFFFFF"/>
                <w:sz w:val="18"/>
                <w:szCs w:val="18"/>
                <w:lang w:eastAsia="es-CL"/>
              </w:rPr>
              <w:t>M$ de cada año</w:t>
            </w:r>
          </w:p>
        </w:tc>
        <w:tc>
          <w:tcPr>
            <w:tcW w:w="1191" w:type="dxa"/>
            <w:gridSpan w:val="2"/>
            <w:tcBorders>
              <w:top w:val="nil"/>
              <w:left w:val="nil"/>
              <w:bottom w:val="nil"/>
              <w:right w:val="nil"/>
            </w:tcBorders>
            <w:shd w:val="clear" w:color="000000" w:fill="BB1823"/>
            <w:noWrap/>
            <w:vAlign w:val="center"/>
            <w:hideMark/>
          </w:tcPr>
          <w:p w14:paraId="115F0C0B" w14:textId="1DAF410F" w:rsidR="009D4686" w:rsidRPr="00565D55" w:rsidRDefault="009D4686" w:rsidP="00D83BC6">
            <w:pPr>
              <w:pStyle w:val="Sinespaciado"/>
              <w:jc w:val="center"/>
              <w:rPr>
                <w:rFonts w:eastAsia="Times New Roman" w:cs="Calibri"/>
                <w:b/>
                <w:bCs/>
                <w:color w:val="FFFFFF"/>
                <w:sz w:val="18"/>
                <w:szCs w:val="18"/>
                <w:lang w:eastAsia="es-CL"/>
              </w:rPr>
            </w:pPr>
            <w:r w:rsidRPr="00565D55">
              <w:rPr>
                <w:rFonts w:eastAsia="Times New Roman" w:cs="Calibri"/>
                <w:b/>
                <w:bCs/>
                <w:color w:val="FFFFFF"/>
                <w:sz w:val="18"/>
                <w:szCs w:val="18"/>
                <w:lang w:eastAsia="es-CL"/>
              </w:rPr>
              <w:t>201</w:t>
            </w:r>
            <w:r>
              <w:rPr>
                <w:rFonts w:eastAsia="Times New Roman" w:cs="Calibri"/>
                <w:b/>
                <w:bCs/>
                <w:color w:val="FFFFFF"/>
                <w:sz w:val="18"/>
                <w:szCs w:val="18"/>
                <w:lang w:eastAsia="es-CL"/>
              </w:rPr>
              <w:t>7</w:t>
            </w:r>
          </w:p>
        </w:tc>
        <w:tc>
          <w:tcPr>
            <w:tcW w:w="1191" w:type="dxa"/>
            <w:gridSpan w:val="2"/>
            <w:tcBorders>
              <w:top w:val="nil"/>
              <w:left w:val="nil"/>
              <w:bottom w:val="nil"/>
              <w:right w:val="nil"/>
            </w:tcBorders>
            <w:shd w:val="clear" w:color="000000" w:fill="BB1823"/>
            <w:noWrap/>
            <w:vAlign w:val="center"/>
            <w:hideMark/>
          </w:tcPr>
          <w:p w14:paraId="065DAAFC" w14:textId="64274AC4" w:rsidR="009D4686" w:rsidRPr="00565D55" w:rsidRDefault="009D4686" w:rsidP="00D83BC6">
            <w:pPr>
              <w:pStyle w:val="Sinespaciado"/>
              <w:jc w:val="center"/>
              <w:rPr>
                <w:rFonts w:eastAsia="Times New Roman" w:cs="Calibri"/>
                <w:b/>
                <w:bCs/>
                <w:color w:val="FFFFFF"/>
                <w:sz w:val="18"/>
                <w:szCs w:val="18"/>
                <w:lang w:eastAsia="es-CL"/>
              </w:rPr>
            </w:pPr>
            <w:r w:rsidRPr="00565D55">
              <w:rPr>
                <w:rFonts w:eastAsia="Times New Roman" w:cs="Calibri"/>
                <w:b/>
                <w:bCs/>
                <w:color w:val="FFFFFF"/>
                <w:sz w:val="18"/>
                <w:szCs w:val="18"/>
                <w:lang w:eastAsia="es-CL"/>
              </w:rPr>
              <w:t>201</w:t>
            </w:r>
            <w:r>
              <w:rPr>
                <w:rFonts w:eastAsia="Times New Roman" w:cs="Calibri"/>
                <w:b/>
                <w:bCs/>
                <w:color w:val="FFFFFF"/>
                <w:sz w:val="18"/>
                <w:szCs w:val="18"/>
                <w:lang w:eastAsia="es-CL"/>
              </w:rPr>
              <w:t>8</w:t>
            </w:r>
          </w:p>
        </w:tc>
        <w:tc>
          <w:tcPr>
            <w:tcW w:w="1191" w:type="dxa"/>
            <w:tcBorders>
              <w:top w:val="nil"/>
              <w:left w:val="nil"/>
              <w:bottom w:val="nil"/>
              <w:right w:val="nil"/>
            </w:tcBorders>
            <w:shd w:val="clear" w:color="000000" w:fill="BB1823"/>
            <w:noWrap/>
            <w:vAlign w:val="center"/>
            <w:hideMark/>
          </w:tcPr>
          <w:p w14:paraId="527546BC" w14:textId="022CFA33" w:rsidR="009D4686" w:rsidRPr="00565D55" w:rsidRDefault="009D4686" w:rsidP="00D83BC6">
            <w:pPr>
              <w:pStyle w:val="Sinespaciado"/>
              <w:jc w:val="center"/>
              <w:rPr>
                <w:rFonts w:eastAsia="Times New Roman" w:cs="Calibri"/>
                <w:b/>
                <w:bCs/>
                <w:color w:val="FFFFFF"/>
                <w:sz w:val="18"/>
                <w:szCs w:val="18"/>
                <w:lang w:eastAsia="es-CL"/>
              </w:rPr>
            </w:pPr>
            <w:r w:rsidRPr="00565D55">
              <w:rPr>
                <w:rFonts w:eastAsia="Times New Roman" w:cs="Calibri"/>
                <w:b/>
                <w:bCs/>
                <w:color w:val="FFFFFF"/>
                <w:sz w:val="18"/>
                <w:szCs w:val="18"/>
                <w:lang w:eastAsia="es-CL"/>
              </w:rPr>
              <w:t>201</w:t>
            </w:r>
            <w:r>
              <w:rPr>
                <w:rFonts w:eastAsia="Times New Roman" w:cs="Calibri"/>
                <w:b/>
                <w:bCs/>
                <w:color w:val="FFFFFF"/>
                <w:sz w:val="18"/>
                <w:szCs w:val="18"/>
                <w:lang w:eastAsia="es-CL"/>
              </w:rPr>
              <w:t>9</w:t>
            </w:r>
          </w:p>
        </w:tc>
        <w:tc>
          <w:tcPr>
            <w:tcW w:w="1191" w:type="dxa"/>
            <w:gridSpan w:val="2"/>
            <w:tcBorders>
              <w:top w:val="nil"/>
              <w:left w:val="nil"/>
              <w:bottom w:val="nil"/>
              <w:right w:val="nil"/>
            </w:tcBorders>
            <w:shd w:val="clear" w:color="000000" w:fill="BB1823"/>
            <w:noWrap/>
            <w:vAlign w:val="center"/>
            <w:hideMark/>
          </w:tcPr>
          <w:p w14:paraId="7827752F" w14:textId="21CAF370" w:rsidR="009D4686" w:rsidRPr="00565D55" w:rsidRDefault="009D4686" w:rsidP="00D83BC6">
            <w:pPr>
              <w:pStyle w:val="Sinespaciado"/>
              <w:jc w:val="center"/>
              <w:rPr>
                <w:rFonts w:eastAsia="Times New Roman" w:cs="Calibri"/>
                <w:b/>
                <w:bCs/>
                <w:color w:val="FFFFFF"/>
                <w:sz w:val="18"/>
                <w:szCs w:val="18"/>
                <w:lang w:eastAsia="es-CL"/>
              </w:rPr>
            </w:pPr>
            <w:r w:rsidRPr="00565D55">
              <w:rPr>
                <w:rFonts w:eastAsia="Times New Roman" w:cs="Calibri"/>
                <w:b/>
                <w:bCs/>
                <w:color w:val="FFFFFF"/>
                <w:sz w:val="18"/>
                <w:szCs w:val="18"/>
                <w:lang w:eastAsia="es-CL"/>
              </w:rPr>
              <w:t>20</w:t>
            </w:r>
            <w:r>
              <w:rPr>
                <w:rFonts w:eastAsia="Times New Roman" w:cs="Calibri"/>
                <w:b/>
                <w:bCs/>
                <w:color w:val="FFFFFF"/>
                <w:sz w:val="18"/>
                <w:szCs w:val="18"/>
                <w:lang w:eastAsia="es-CL"/>
              </w:rPr>
              <w:t>20</w:t>
            </w:r>
          </w:p>
        </w:tc>
        <w:tc>
          <w:tcPr>
            <w:tcW w:w="1191" w:type="dxa"/>
            <w:gridSpan w:val="2"/>
            <w:tcBorders>
              <w:top w:val="nil"/>
              <w:left w:val="nil"/>
              <w:bottom w:val="nil"/>
              <w:right w:val="nil"/>
            </w:tcBorders>
            <w:shd w:val="clear" w:color="000000" w:fill="BB1823"/>
            <w:noWrap/>
            <w:vAlign w:val="center"/>
            <w:hideMark/>
          </w:tcPr>
          <w:p w14:paraId="1CC77294" w14:textId="6E55A15B" w:rsidR="009D4686" w:rsidRPr="003824B1" w:rsidRDefault="009D4686" w:rsidP="00D83BC6">
            <w:pPr>
              <w:pStyle w:val="Sinespaciado"/>
              <w:jc w:val="center"/>
              <w:rPr>
                <w:rFonts w:eastAsia="Times New Roman" w:cs="Calibri"/>
                <w:b/>
                <w:color w:val="FFFFFF"/>
                <w:sz w:val="18"/>
                <w:szCs w:val="18"/>
                <w:lang w:eastAsia="es-CL"/>
              </w:rPr>
            </w:pPr>
            <w:r w:rsidRPr="003824B1">
              <w:rPr>
                <w:rFonts w:eastAsia="Times New Roman" w:cs="Calibri"/>
                <w:b/>
                <w:color w:val="FFFFFF"/>
                <w:sz w:val="18"/>
                <w:szCs w:val="18"/>
                <w:lang w:eastAsia="es-CL"/>
              </w:rPr>
              <w:t>2021</w:t>
            </w:r>
          </w:p>
        </w:tc>
        <w:tc>
          <w:tcPr>
            <w:tcW w:w="1191" w:type="dxa"/>
            <w:gridSpan w:val="2"/>
            <w:tcBorders>
              <w:top w:val="nil"/>
              <w:left w:val="nil"/>
              <w:bottom w:val="nil"/>
              <w:right w:val="nil"/>
            </w:tcBorders>
            <w:shd w:val="clear" w:color="000000" w:fill="BB1823"/>
            <w:noWrap/>
            <w:vAlign w:val="center"/>
            <w:hideMark/>
          </w:tcPr>
          <w:p w14:paraId="2A835DD3" w14:textId="6D376F46" w:rsidR="009D4686" w:rsidRPr="003824B1" w:rsidRDefault="009D4686" w:rsidP="00D83BC6">
            <w:pPr>
              <w:pStyle w:val="Sinespaciado"/>
              <w:jc w:val="center"/>
              <w:rPr>
                <w:rFonts w:eastAsia="Times New Roman" w:cs="Calibri"/>
                <w:b/>
                <w:color w:val="FFFFFF"/>
                <w:sz w:val="18"/>
                <w:szCs w:val="18"/>
                <w:lang w:eastAsia="es-CL"/>
              </w:rPr>
            </w:pPr>
            <w:r w:rsidRPr="003824B1">
              <w:rPr>
                <w:rFonts w:eastAsia="Times New Roman" w:cs="Calibri"/>
                <w:b/>
                <w:color w:val="FFFFFF"/>
                <w:sz w:val="18"/>
                <w:szCs w:val="18"/>
                <w:lang w:eastAsia="es-CL"/>
              </w:rPr>
              <w:t>mar-22</w:t>
            </w:r>
          </w:p>
        </w:tc>
      </w:tr>
      <w:tr w:rsidR="00BA557E" w:rsidRPr="00565D55" w14:paraId="20979842" w14:textId="77777777" w:rsidTr="003F0D2C">
        <w:trPr>
          <w:gridAfter w:val="1"/>
          <w:wAfter w:w="269" w:type="dxa"/>
          <w:trHeight w:val="300"/>
        </w:trPr>
        <w:tc>
          <w:tcPr>
            <w:tcW w:w="2331" w:type="dxa"/>
            <w:tcBorders>
              <w:top w:val="nil"/>
              <w:left w:val="nil"/>
              <w:bottom w:val="nil"/>
              <w:right w:val="nil"/>
            </w:tcBorders>
            <w:shd w:val="clear" w:color="000000" w:fill="BB1823"/>
            <w:noWrap/>
            <w:vAlign w:val="center"/>
            <w:hideMark/>
          </w:tcPr>
          <w:p w14:paraId="52EFFB70" w14:textId="77777777" w:rsidR="00BA557E" w:rsidRPr="00565D55" w:rsidRDefault="00BA557E" w:rsidP="00BA557E">
            <w:pPr>
              <w:pStyle w:val="Sinespaciado"/>
              <w:rPr>
                <w:rFonts w:eastAsia="Times New Roman" w:cs="Calibri"/>
                <w:color w:val="FFFFFF"/>
                <w:sz w:val="18"/>
                <w:szCs w:val="18"/>
                <w:lang w:eastAsia="es-CL"/>
              </w:rPr>
            </w:pPr>
            <w:r w:rsidRPr="00565D55">
              <w:rPr>
                <w:rFonts w:eastAsia="Times New Roman" w:cs="Calibri"/>
                <w:color w:val="FFFFFF"/>
                <w:sz w:val="18"/>
                <w:szCs w:val="18"/>
                <w:lang w:eastAsia="es-CL"/>
              </w:rPr>
              <w:t>Activos corrientes</w:t>
            </w:r>
          </w:p>
        </w:tc>
        <w:tc>
          <w:tcPr>
            <w:tcW w:w="1191" w:type="dxa"/>
            <w:gridSpan w:val="2"/>
            <w:tcBorders>
              <w:top w:val="nil"/>
              <w:left w:val="nil"/>
              <w:bottom w:val="nil"/>
              <w:right w:val="nil"/>
            </w:tcBorders>
            <w:shd w:val="clear" w:color="auto" w:fill="auto"/>
            <w:noWrap/>
            <w:vAlign w:val="center"/>
            <w:hideMark/>
          </w:tcPr>
          <w:p w14:paraId="5B8DD619" w14:textId="042439E4" w:rsidR="00BA557E" w:rsidRPr="00565D55" w:rsidRDefault="00BA557E" w:rsidP="00BA557E">
            <w:pPr>
              <w:pStyle w:val="Sinespaciado"/>
              <w:jc w:val="right"/>
              <w:rPr>
                <w:rFonts w:eastAsia="Times New Roman" w:cs="Calibri"/>
                <w:color w:val="333D6B"/>
                <w:sz w:val="18"/>
                <w:szCs w:val="18"/>
                <w:lang w:eastAsia="es-CL"/>
              </w:rPr>
            </w:pPr>
            <w:r>
              <w:rPr>
                <w:rFonts w:cs="Arial"/>
                <w:color w:val="333D6B"/>
                <w:sz w:val="18"/>
                <w:szCs w:val="18"/>
              </w:rPr>
              <w:t>201.815.988</w:t>
            </w:r>
          </w:p>
        </w:tc>
        <w:tc>
          <w:tcPr>
            <w:tcW w:w="1191" w:type="dxa"/>
            <w:gridSpan w:val="2"/>
            <w:tcBorders>
              <w:top w:val="nil"/>
              <w:left w:val="nil"/>
              <w:bottom w:val="nil"/>
              <w:right w:val="nil"/>
            </w:tcBorders>
            <w:shd w:val="clear" w:color="auto" w:fill="auto"/>
            <w:noWrap/>
            <w:vAlign w:val="center"/>
            <w:hideMark/>
          </w:tcPr>
          <w:p w14:paraId="6B5B51D3" w14:textId="74FDAFFD" w:rsidR="00BA557E" w:rsidRPr="00565D55" w:rsidRDefault="00BA557E" w:rsidP="00BA557E">
            <w:pPr>
              <w:pStyle w:val="Sinespaciado"/>
              <w:jc w:val="right"/>
              <w:rPr>
                <w:rFonts w:eastAsia="Times New Roman" w:cs="Calibri"/>
                <w:color w:val="333D6B"/>
                <w:sz w:val="18"/>
                <w:szCs w:val="18"/>
                <w:lang w:eastAsia="es-CL"/>
              </w:rPr>
            </w:pPr>
            <w:r>
              <w:rPr>
                <w:rFonts w:cs="Arial"/>
                <w:color w:val="333D6B"/>
                <w:sz w:val="18"/>
                <w:szCs w:val="18"/>
              </w:rPr>
              <w:t>222.997.843</w:t>
            </w:r>
          </w:p>
        </w:tc>
        <w:tc>
          <w:tcPr>
            <w:tcW w:w="1191" w:type="dxa"/>
            <w:tcBorders>
              <w:top w:val="nil"/>
              <w:left w:val="nil"/>
              <w:bottom w:val="nil"/>
              <w:right w:val="nil"/>
            </w:tcBorders>
            <w:shd w:val="clear" w:color="auto" w:fill="auto"/>
            <w:noWrap/>
            <w:vAlign w:val="center"/>
            <w:hideMark/>
          </w:tcPr>
          <w:p w14:paraId="295EF634" w14:textId="40772140" w:rsidR="00BA557E" w:rsidRPr="00565D55" w:rsidRDefault="00BA557E" w:rsidP="00BA557E">
            <w:pPr>
              <w:pStyle w:val="Sinespaciado"/>
              <w:jc w:val="right"/>
              <w:rPr>
                <w:rFonts w:eastAsia="Times New Roman" w:cs="Calibri"/>
                <w:color w:val="333D6B"/>
                <w:sz w:val="18"/>
                <w:szCs w:val="18"/>
                <w:lang w:eastAsia="es-CL"/>
              </w:rPr>
            </w:pPr>
            <w:r>
              <w:rPr>
                <w:rFonts w:cs="Arial"/>
                <w:color w:val="333D6B"/>
                <w:sz w:val="18"/>
                <w:szCs w:val="18"/>
              </w:rPr>
              <w:t>243.467.615</w:t>
            </w:r>
          </w:p>
        </w:tc>
        <w:tc>
          <w:tcPr>
            <w:tcW w:w="1191" w:type="dxa"/>
            <w:gridSpan w:val="2"/>
            <w:tcBorders>
              <w:top w:val="nil"/>
              <w:left w:val="nil"/>
              <w:bottom w:val="nil"/>
              <w:right w:val="nil"/>
            </w:tcBorders>
            <w:shd w:val="clear" w:color="auto" w:fill="auto"/>
            <w:noWrap/>
            <w:vAlign w:val="center"/>
            <w:hideMark/>
          </w:tcPr>
          <w:p w14:paraId="3B17E7C2" w14:textId="7592E928" w:rsidR="00BA557E" w:rsidRPr="00565D55" w:rsidRDefault="00BA557E" w:rsidP="00BA557E">
            <w:pPr>
              <w:pStyle w:val="Sinespaciado"/>
              <w:jc w:val="right"/>
              <w:rPr>
                <w:rFonts w:eastAsia="Times New Roman" w:cs="Calibri"/>
                <w:color w:val="333D6B"/>
                <w:sz w:val="18"/>
                <w:szCs w:val="18"/>
                <w:lang w:eastAsia="es-CL"/>
              </w:rPr>
            </w:pPr>
            <w:r>
              <w:rPr>
                <w:rFonts w:cs="Arial"/>
                <w:color w:val="333D6B"/>
                <w:sz w:val="18"/>
                <w:szCs w:val="18"/>
              </w:rPr>
              <w:t>273.208.327</w:t>
            </w:r>
          </w:p>
        </w:tc>
        <w:tc>
          <w:tcPr>
            <w:tcW w:w="1191" w:type="dxa"/>
            <w:gridSpan w:val="2"/>
            <w:tcBorders>
              <w:top w:val="nil"/>
              <w:left w:val="nil"/>
              <w:bottom w:val="nil"/>
              <w:right w:val="nil"/>
            </w:tcBorders>
            <w:shd w:val="clear" w:color="auto" w:fill="auto"/>
            <w:noWrap/>
            <w:vAlign w:val="center"/>
            <w:hideMark/>
          </w:tcPr>
          <w:p w14:paraId="1F22C02A" w14:textId="5D94B253" w:rsidR="00BA557E" w:rsidRPr="00565D55" w:rsidRDefault="00BA557E" w:rsidP="00BA557E">
            <w:pPr>
              <w:pStyle w:val="Sinespaciado"/>
              <w:jc w:val="right"/>
              <w:rPr>
                <w:rFonts w:eastAsia="Times New Roman" w:cs="Calibri"/>
                <w:color w:val="333D6B"/>
                <w:sz w:val="18"/>
                <w:szCs w:val="18"/>
                <w:lang w:eastAsia="es-CL"/>
              </w:rPr>
            </w:pPr>
            <w:r>
              <w:rPr>
                <w:rFonts w:cs="Arial"/>
                <w:color w:val="333D6B"/>
                <w:sz w:val="18"/>
                <w:szCs w:val="18"/>
              </w:rPr>
              <w:t>260.513.271</w:t>
            </w:r>
          </w:p>
        </w:tc>
        <w:tc>
          <w:tcPr>
            <w:tcW w:w="1191" w:type="dxa"/>
            <w:gridSpan w:val="2"/>
            <w:tcBorders>
              <w:top w:val="nil"/>
              <w:left w:val="nil"/>
              <w:bottom w:val="nil"/>
              <w:right w:val="nil"/>
            </w:tcBorders>
            <w:shd w:val="clear" w:color="auto" w:fill="auto"/>
            <w:noWrap/>
            <w:vAlign w:val="center"/>
            <w:hideMark/>
          </w:tcPr>
          <w:p w14:paraId="1332D810" w14:textId="4587303E" w:rsidR="00BA557E" w:rsidRPr="00565D55" w:rsidRDefault="00BA557E" w:rsidP="00BA557E">
            <w:pPr>
              <w:pStyle w:val="Sinespaciado"/>
              <w:jc w:val="right"/>
              <w:rPr>
                <w:rFonts w:eastAsia="Times New Roman" w:cs="Calibri"/>
                <w:color w:val="333D6B"/>
                <w:sz w:val="18"/>
                <w:szCs w:val="18"/>
                <w:lang w:eastAsia="es-CL"/>
              </w:rPr>
            </w:pPr>
            <w:r>
              <w:rPr>
                <w:rFonts w:cs="Arial"/>
                <w:color w:val="333D6B"/>
                <w:sz w:val="18"/>
                <w:szCs w:val="18"/>
              </w:rPr>
              <w:t>244.999.248</w:t>
            </w:r>
          </w:p>
        </w:tc>
      </w:tr>
      <w:tr w:rsidR="00BA557E" w:rsidRPr="00565D55" w14:paraId="333994FA" w14:textId="77777777" w:rsidTr="003F0D2C">
        <w:trPr>
          <w:gridAfter w:val="1"/>
          <w:wAfter w:w="269" w:type="dxa"/>
          <w:trHeight w:val="300"/>
        </w:trPr>
        <w:tc>
          <w:tcPr>
            <w:tcW w:w="2331" w:type="dxa"/>
            <w:tcBorders>
              <w:top w:val="dotted" w:sz="4" w:space="0" w:color="E6344B"/>
              <w:left w:val="nil"/>
              <w:bottom w:val="dotted" w:sz="4" w:space="0" w:color="E6344B"/>
              <w:right w:val="nil"/>
            </w:tcBorders>
            <w:shd w:val="clear" w:color="000000" w:fill="BB1823"/>
            <w:noWrap/>
            <w:vAlign w:val="center"/>
            <w:hideMark/>
          </w:tcPr>
          <w:p w14:paraId="72B8E986" w14:textId="77777777" w:rsidR="00BA557E" w:rsidRPr="00565D55" w:rsidRDefault="00BA557E" w:rsidP="00BA557E">
            <w:pPr>
              <w:pStyle w:val="Sinespaciado"/>
              <w:rPr>
                <w:rFonts w:eastAsia="Times New Roman" w:cs="Calibri"/>
                <w:color w:val="FFFFFF"/>
                <w:sz w:val="18"/>
                <w:szCs w:val="18"/>
                <w:lang w:eastAsia="es-CL"/>
              </w:rPr>
            </w:pPr>
            <w:r w:rsidRPr="00565D55">
              <w:rPr>
                <w:rFonts w:eastAsia="Times New Roman" w:cs="Calibri"/>
                <w:color w:val="FFFFFF"/>
                <w:sz w:val="18"/>
                <w:szCs w:val="18"/>
                <w:lang w:eastAsia="es-CL"/>
              </w:rPr>
              <w:t>Activos no corrientes</w:t>
            </w:r>
          </w:p>
        </w:tc>
        <w:tc>
          <w:tcPr>
            <w:tcW w:w="1191" w:type="dxa"/>
            <w:gridSpan w:val="2"/>
            <w:tcBorders>
              <w:top w:val="dotted" w:sz="4" w:space="0" w:color="E6344B"/>
              <w:left w:val="nil"/>
              <w:bottom w:val="dotted" w:sz="4" w:space="0" w:color="E6344B"/>
              <w:right w:val="nil"/>
            </w:tcBorders>
            <w:shd w:val="clear" w:color="auto" w:fill="auto"/>
            <w:noWrap/>
            <w:vAlign w:val="center"/>
            <w:hideMark/>
          </w:tcPr>
          <w:p w14:paraId="3AE3B9CF" w14:textId="73C74649" w:rsidR="00BA557E" w:rsidRPr="00565D55" w:rsidRDefault="00BA557E" w:rsidP="00BA557E">
            <w:pPr>
              <w:pStyle w:val="Sinespaciado"/>
              <w:jc w:val="right"/>
              <w:rPr>
                <w:rFonts w:eastAsia="Times New Roman" w:cs="Calibri"/>
                <w:color w:val="333D6B"/>
                <w:sz w:val="18"/>
                <w:szCs w:val="18"/>
                <w:lang w:eastAsia="es-CL"/>
              </w:rPr>
            </w:pPr>
            <w:r>
              <w:rPr>
                <w:rFonts w:cs="Arial"/>
                <w:color w:val="333D6B"/>
                <w:sz w:val="18"/>
                <w:szCs w:val="18"/>
              </w:rPr>
              <w:t>301.852.064</w:t>
            </w:r>
          </w:p>
        </w:tc>
        <w:tc>
          <w:tcPr>
            <w:tcW w:w="1191" w:type="dxa"/>
            <w:gridSpan w:val="2"/>
            <w:tcBorders>
              <w:top w:val="dotted" w:sz="4" w:space="0" w:color="E6344B"/>
              <w:left w:val="nil"/>
              <w:bottom w:val="dotted" w:sz="4" w:space="0" w:color="E6344B"/>
              <w:right w:val="nil"/>
            </w:tcBorders>
            <w:shd w:val="clear" w:color="auto" w:fill="auto"/>
            <w:noWrap/>
            <w:vAlign w:val="center"/>
            <w:hideMark/>
          </w:tcPr>
          <w:p w14:paraId="4D5C050D" w14:textId="41342A3B" w:rsidR="00BA557E" w:rsidRPr="00565D55" w:rsidRDefault="00BA557E" w:rsidP="00BA557E">
            <w:pPr>
              <w:pStyle w:val="Sinespaciado"/>
              <w:jc w:val="right"/>
              <w:rPr>
                <w:rFonts w:eastAsia="Times New Roman" w:cs="Calibri"/>
                <w:color w:val="333D6B"/>
                <w:sz w:val="18"/>
                <w:szCs w:val="18"/>
                <w:lang w:eastAsia="es-CL"/>
              </w:rPr>
            </w:pPr>
            <w:r>
              <w:rPr>
                <w:rFonts w:cs="Arial"/>
                <w:color w:val="333D6B"/>
                <w:sz w:val="18"/>
                <w:szCs w:val="18"/>
              </w:rPr>
              <w:t>288.469.825</w:t>
            </w:r>
          </w:p>
        </w:tc>
        <w:tc>
          <w:tcPr>
            <w:tcW w:w="1191" w:type="dxa"/>
            <w:tcBorders>
              <w:top w:val="dotted" w:sz="4" w:space="0" w:color="E6344B"/>
              <w:left w:val="nil"/>
              <w:bottom w:val="dotted" w:sz="4" w:space="0" w:color="E6344B"/>
              <w:right w:val="nil"/>
            </w:tcBorders>
            <w:shd w:val="clear" w:color="auto" w:fill="auto"/>
            <w:noWrap/>
            <w:vAlign w:val="center"/>
            <w:hideMark/>
          </w:tcPr>
          <w:p w14:paraId="5E3AAF2B" w14:textId="32D151A6" w:rsidR="00BA557E" w:rsidRPr="00565D55" w:rsidRDefault="00BA557E" w:rsidP="00BA557E">
            <w:pPr>
              <w:pStyle w:val="Sinespaciado"/>
              <w:jc w:val="right"/>
              <w:rPr>
                <w:rFonts w:eastAsia="Times New Roman" w:cs="Calibri"/>
                <w:color w:val="333D6B"/>
                <w:sz w:val="18"/>
                <w:szCs w:val="18"/>
                <w:lang w:eastAsia="es-CL"/>
              </w:rPr>
            </w:pPr>
            <w:r>
              <w:rPr>
                <w:rFonts w:cs="Arial"/>
                <w:color w:val="333D6B"/>
                <w:sz w:val="18"/>
                <w:szCs w:val="18"/>
              </w:rPr>
              <w:t>279.027.218</w:t>
            </w:r>
          </w:p>
        </w:tc>
        <w:tc>
          <w:tcPr>
            <w:tcW w:w="1191" w:type="dxa"/>
            <w:gridSpan w:val="2"/>
            <w:tcBorders>
              <w:top w:val="dotted" w:sz="4" w:space="0" w:color="E6344B"/>
              <w:left w:val="nil"/>
              <w:bottom w:val="dotted" w:sz="4" w:space="0" w:color="E6344B"/>
              <w:right w:val="nil"/>
            </w:tcBorders>
            <w:shd w:val="clear" w:color="auto" w:fill="auto"/>
            <w:noWrap/>
            <w:vAlign w:val="center"/>
            <w:hideMark/>
          </w:tcPr>
          <w:p w14:paraId="0C5EF099" w14:textId="6EC7F0C7" w:rsidR="00BA557E" w:rsidRPr="00565D55" w:rsidRDefault="00BA557E" w:rsidP="00BA557E">
            <w:pPr>
              <w:pStyle w:val="Sinespaciado"/>
              <w:jc w:val="right"/>
              <w:rPr>
                <w:rFonts w:eastAsia="Times New Roman" w:cs="Calibri"/>
                <w:color w:val="333D6B"/>
                <w:sz w:val="18"/>
                <w:szCs w:val="18"/>
                <w:lang w:eastAsia="es-CL"/>
              </w:rPr>
            </w:pPr>
            <w:r>
              <w:rPr>
                <w:rFonts w:cs="Arial"/>
                <w:color w:val="333D6B"/>
                <w:sz w:val="18"/>
                <w:szCs w:val="18"/>
              </w:rPr>
              <w:t>230.476.855</w:t>
            </w:r>
          </w:p>
        </w:tc>
        <w:tc>
          <w:tcPr>
            <w:tcW w:w="1191" w:type="dxa"/>
            <w:gridSpan w:val="2"/>
            <w:tcBorders>
              <w:top w:val="dotted" w:sz="4" w:space="0" w:color="E6344B"/>
              <w:left w:val="nil"/>
              <w:bottom w:val="dotted" w:sz="4" w:space="0" w:color="E6344B"/>
              <w:right w:val="nil"/>
            </w:tcBorders>
            <w:shd w:val="clear" w:color="auto" w:fill="auto"/>
            <w:noWrap/>
            <w:vAlign w:val="center"/>
            <w:hideMark/>
          </w:tcPr>
          <w:p w14:paraId="3140C73E" w14:textId="7756E9E2" w:rsidR="00BA557E" w:rsidRPr="00565D55" w:rsidRDefault="00BA557E" w:rsidP="00BA557E">
            <w:pPr>
              <w:pStyle w:val="Sinespaciado"/>
              <w:jc w:val="right"/>
              <w:rPr>
                <w:rFonts w:eastAsia="Times New Roman" w:cs="Calibri"/>
                <w:color w:val="333D6B"/>
                <w:sz w:val="18"/>
                <w:szCs w:val="18"/>
                <w:lang w:eastAsia="es-CL"/>
              </w:rPr>
            </w:pPr>
            <w:r>
              <w:rPr>
                <w:rFonts w:cs="Arial"/>
                <w:color w:val="333D6B"/>
                <w:sz w:val="18"/>
                <w:szCs w:val="18"/>
              </w:rPr>
              <w:t>269.101.834</w:t>
            </w:r>
          </w:p>
        </w:tc>
        <w:tc>
          <w:tcPr>
            <w:tcW w:w="1191" w:type="dxa"/>
            <w:gridSpan w:val="2"/>
            <w:tcBorders>
              <w:top w:val="dotted" w:sz="4" w:space="0" w:color="E6344B"/>
              <w:left w:val="nil"/>
              <w:bottom w:val="dotted" w:sz="4" w:space="0" w:color="E6344B"/>
              <w:right w:val="nil"/>
            </w:tcBorders>
            <w:shd w:val="clear" w:color="auto" w:fill="auto"/>
            <w:noWrap/>
            <w:vAlign w:val="center"/>
            <w:hideMark/>
          </w:tcPr>
          <w:p w14:paraId="1D286F11" w14:textId="252CAF76" w:rsidR="00BA557E" w:rsidRPr="00565D55" w:rsidRDefault="00BA557E" w:rsidP="00BA557E">
            <w:pPr>
              <w:pStyle w:val="Sinespaciado"/>
              <w:jc w:val="right"/>
              <w:rPr>
                <w:rFonts w:eastAsia="Times New Roman" w:cs="Calibri"/>
                <w:color w:val="333D6B"/>
                <w:sz w:val="18"/>
                <w:szCs w:val="18"/>
                <w:lang w:eastAsia="es-CL"/>
              </w:rPr>
            </w:pPr>
            <w:r>
              <w:rPr>
                <w:rFonts w:cs="Arial"/>
                <w:color w:val="333D6B"/>
                <w:sz w:val="18"/>
                <w:szCs w:val="18"/>
              </w:rPr>
              <w:t>280.613.020</w:t>
            </w:r>
          </w:p>
        </w:tc>
      </w:tr>
      <w:tr w:rsidR="00BA557E" w:rsidRPr="00565D55" w14:paraId="614BBB2F" w14:textId="77777777" w:rsidTr="003F0D2C">
        <w:trPr>
          <w:gridAfter w:val="1"/>
          <w:wAfter w:w="269" w:type="dxa"/>
          <w:trHeight w:val="300"/>
        </w:trPr>
        <w:tc>
          <w:tcPr>
            <w:tcW w:w="2331" w:type="dxa"/>
            <w:tcBorders>
              <w:top w:val="nil"/>
              <w:left w:val="nil"/>
              <w:bottom w:val="nil"/>
              <w:right w:val="nil"/>
            </w:tcBorders>
            <w:shd w:val="clear" w:color="000000" w:fill="BB1823"/>
            <w:noWrap/>
            <w:vAlign w:val="center"/>
            <w:hideMark/>
          </w:tcPr>
          <w:p w14:paraId="4314FE55" w14:textId="77777777" w:rsidR="00BA557E" w:rsidRPr="00565D55" w:rsidRDefault="00BA557E" w:rsidP="00BA557E">
            <w:pPr>
              <w:pStyle w:val="Sinespaciado"/>
              <w:rPr>
                <w:rFonts w:eastAsia="Times New Roman" w:cs="Calibri"/>
                <w:b/>
                <w:bCs/>
                <w:color w:val="FFFFFF"/>
                <w:sz w:val="18"/>
                <w:szCs w:val="18"/>
                <w:lang w:eastAsia="es-CL"/>
              </w:rPr>
            </w:pPr>
            <w:r w:rsidRPr="00565D55">
              <w:rPr>
                <w:rFonts w:eastAsia="Times New Roman" w:cs="Calibri"/>
                <w:b/>
                <w:bCs/>
                <w:color w:val="FFFFFF"/>
                <w:sz w:val="18"/>
                <w:szCs w:val="18"/>
                <w:lang w:eastAsia="es-CL"/>
              </w:rPr>
              <w:t>Total activos</w:t>
            </w:r>
          </w:p>
        </w:tc>
        <w:tc>
          <w:tcPr>
            <w:tcW w:w="1191" w:type="dxa"/>
            <w:gridSpan w:val="2"/>
            <w:tcBorders>
              <w:top w:val="nil"/>
              <w:left w:val="nil"/>
              <w:bottom w:val="nil"/>
              <w:right w:val="nil"/>
            </w:tcBorders>
            <w:shd w:val="clear" w:color="auto" w:fill="auto"/>
            <w:noWrap/>
            <w:vAlign w:val="center"/>
            <w:hideMark/>
          </w:tcPr>
          <w:p w14:paraId="176DCF9C" w14:textId="37AA0F1D" w:rsidR="00BA557E" w:rsidRPr="00565D55" w:rsidRDefault="00BA557E" w:rsidP="00BA557E">
            <w:pPr>
              <w:pStyle w:val="Sinespaciado"/>
              <w:jc w:val="right"/>
              <w:rPr>
                <w:rFonts w:eastAsia="Times New Roman" w:cs="Calibri"/>
                <w:b/>
                <w:bCs/>
                <w:color w:val="333D6B"/>
                <w:sz w:val="18"/>
                <w:szCs w:val="18"/>
                <w:lang w:eastAsia="es-CL"/>
              </w:rPr>
            </w:pPr>
            <w:r>
              <w:rPr>
                <w:rFonts w:cs="Arial"/>
                <w:b/>
                <w:bCs/>
                <w:color w:val="333D6B"/>
                <w:sz w:val="18"/>
                <w:szCs w:val="18"/>
              </w:rPr>
              <w:t>503.668.052</w:t>
            </w:r>
          </w:p>
        </w:tc>
        <w:tc>
          <w:tcPr>
            <w:tcW w:w="1191" w:type="dxa"/>
            <w:gridSpan w:val="2"/>
            <w:tcBorders>
              <w:top w:val="nil"/>
              <w:left w:val="nil"/>
              <w:bottom w:val="nil"/>
              <w:right w:val="nil"/>
            </w:tcBorders>
            <w:shd w:val="clear" w:color="auto" w:fill="auto"/>
            <w:noWrap/>
            <w:vAlign w:val="center"/>
            <w:hideMark/>
          </w:tcPr>
          <w:p w14:paraId="6AC24725" w14:textId="6F0914EF" w:rsidR="00BA557E" w:rsidRPr="00565D55" w:rsidRDefault="00BA557E" w:rsidP="00BA557E">
            <w:pPr>
              <w:pStyle w:val="Sinespaciado"/>
              <w:jc w:val="right"/>
              <w:rPr>
                <w:rFonts w:eastAsia="Times New Roman" w:cs="Calibri"/>
                <w:b/>
                <w:bCs/>
                <w:color w:val="333D6B"/>
                <w:sz w:val="18"/>
                <w:szCs w:val="18"/>
                <w:lang w:eastAsia="es-CL"/>
              </w:rPr>
            </w:pPr>
            <w:r>
              <w:rPr>
                <w:rFonts w:cs="Arial"/>
                <w:b/>
                <w:bCs/>
                <w:color w:val="333D6B"/>
                <w:sz w:val="18"/>
                <w:szCs w:val="18"/>
              </w:rPr>
              <w:t>511.467.668</w:t>
            </w:r>
          </w:p>
        </w:tc>
        <w:tc>
          <w:tcPr>
            <w:tcW w:w="1191" w:type="dxa"/>
            <w:tcBorders>
              <w:top w:val="nil"/>
              <w:left w:val="nil"/>
              <w:bottom w:val="nil"/>
              <w:right w:val="nil"/>
            </w:tcBorders>
            <w:shd w:val="clear" w:color="auto" w:fill="auto"/>
            <w:noWrap/>
            <w:vAlign w:val="center"/>
            <w:hideMark/>
          </w:tcPr>
          <w:p w14:paraId="3A304E7A" w14:textId="07642E80" w:rsidR="00BA557E" w:rsidRPr="00565D55" w:rsidRDefault="00BA557E" w:rsidP="00BA557E">
            <w:pPr>
              <w:pStyle w:val="Sinespaciado"/>
              <w:jc w:val="right"/>
              <w:rPr>
                <w:rFonts w:eastAsia="Times New Roman" w:cs="Calibri"/>
                <w:b/>
                <w:bCs/>
                <w:color w:val="333D6B"/>
                <w:sz w:val="18"/>
                <w:szCs w:val="18"/>
                <w:lang w:eastAsia="es-CL"/>
              </w:rPr>
            </w:pPr>
            <w:r>
              <w:rPr>
                <w:rFonts w:cs="Arial"/>
                <w:b/>
                <w:bCs/>
                <w:color w:val="333D6B"/>
                <w:sz w:val="18"/>
                <w:szCs w:val="18"/>
              </w:rPr>
              <w:t>522.494.833</w:t>
            </w:r>
          </w:p>
        </w:tc>
        <w:tc>
          <w:tcPr>
            <w:tcW w:w="1191" w:type="dxa"/>
            <w:gridSpan w:val="2"/>
            <w:tcBorders>
              <w:top w:val="nil"/>
              <w:left w:val="nil"/>
              <w:bottom w:val="nil"/>
              <w:right w:val="nil"/>
            </w:tcBorders>
            <w:shd w:val="clear" w:color="auto" w:fill="auto"/>
            <w:noWrap/>
            <w:vAlign w:val="center"/>
            <w:hideMark/>
          </w:tcPr>
          <w:p w14:paraId="6A3F77B5" w14:textId="465548CB" w:rsidR="00BA557E" w:rsidRPr="00565D55" w:rsidRDefault="00BA557E" w:rsidP="00BA557E">
            <w:pPr>
              <w:pStyle w:val="Sinespaciado"/>
              <w:jc w:val="right"/>
              <w:rPr>
                <w:rFonts w:eastAsia="Times New Roman" w:cs="Calibri"/>
                <w:b/>
                <w:bCs/>
                <w:color w:val="333D6B"/>
                <w:sz w:val="18"/>
                <w:szCs w:val="18"/>
                <w:lang w:eastAsia="es-CL"/>
              </w:rPr>
            </w:pPr>
            <w:r>
              <w:rPr>
                <w:rFonts w:cs="Arial"/>
                <w:b/>
                <w:bCs/>
                <w:color w:val="333D6B"/>
                <w:sz w:val="18"/>
                <w:szCs w:val="18"/>
              </w:rPr>
              <w:t>503.685.182</w:t>
            </w:r>
          </w:p>
        </w:tc>
        <w:tc>
          <w:tcPr>
            <w:tcW w:w="1191" w:type="dxa"/>
            <w:gridSpan w:val="2"/>
            <w:tcBorders>
              <w:top w:val="nil"/>
              <w:left w:val="nil"/>
              <w:bottom w:val="nil"/>
              <w:right w:val="nil"/>
            </w:tcBorders>
            <w:shd w:val="clear" w:color="auto" w:fill="auto"/>
            <w:noWrap/>
            <w:vAlign w:val="center"/>
            <w:hideMark/>
          </w:tcPr>
          <w:p w14:paraId="1FE04F58" w14:textId="4F78AB2B" w:rsidR="00BA557E" w:rsidRPr="00565D55" w:rsidRDefault="00BA557E" w:rsidP="00BA557E">
            <w:pPr>
              <w:pStyle w:val="Sinespaciado"/>
              <w:jc w:val="right"/>
              <w:rPr>
                <w:rFonts w:eastAsia="Times New Roman" w:cs="Calibri"/>
                <w:b/>
                <w:bCs/>
                <w:color w:val="333D6B"/>
                <w:sz w:val="18"/>
                <w:szCs w:val="18"/>
                <w:lang w:eastAsia="es-CL"/>
              </w:rPr>
            </w:pPr>
            <w:r>
              <w:rPr>
                <w:rFonts w:cs="Arial"/>
                <w:b/>
                <w:bCs/>
                <w:color w:val="333D6B"/>
                <w:sz w:val="18"/>
                <w:szCs w:val="18"/>
              </w:rPr>
              <w:t>529.615.105</w:t>
            </w:r>
          </w:p>
        </w:tc>
        <w:tc>
          <w:tcPr>
            <w:tcW w:w="1191" w:type="dxa"/>
            <w:gridSpan w:val="2"/>
            <w:tcBorders>
              <w:top w:val="nil"/>
              <w:left w:val="nil"/>
              <w:bottom w:val="nil"/>
              <w:right w:val="nil"/>
            </w:tcBorders>
            <w:shd w:val="clear" w:color="auto" w:fill="auto"/>
            <w:noWrap/>
            <w:vAlign w:val="center"/>
            <w:hideMark/>
          </w:tcPr>
          <w:p w14:paraId="7B50AEB8" w14:textId="61878849" w:rsidR="00BA557E" w:rsidRPr="00565D55" w:rsidRDefault="00BA557E" w:rsidP="00BA557E">
            <w:pPr>
              <w:pStyle w:val="Sinespaciado"/>
              <w:jc w:val="right"/>
              <w:rPr>
                <w:rFonts w:eastAsia="Times New Roman" w:cs="Calibri"/>
                <w:b/>
                <w:bCs/>
                <w:color w:val="333D6B"/>
                <w:sz w:val="18"/>
                <w:szCs w:val="18"/>
                <w:lang w:eastAsia="es-CL"/>
              </w:rPr>
            </w:pPr>
            <w:r>
              <w:rPr>
                <w:rFonts w:cs="Arial"/>
                <w:b/>
                <w:bCs/>
                <w:color w:val="333D6B"/>
                <w:sz w:val="18"/>
                <w:szCs w:val="18"/>
              </w:rPr>
              <w:t>525.612.268</w:t>
            </w:r>
          </w:p>
        </w:tc>
      </w:tr>
      <w:tr w:rsidR="00BA557E" w:rsidRPr="00565D55" w14:paraId="647F9E38" w14:textId="77777777" w:rsidTr="003F0D2C">
        <w:trPr>
          <w:gridAfter w:val="1"/>
          <w:wAfter w:w="269" w:type="dxa"/>
          <w:trHeight w:val="300"/>
        </w:trPr>
        <w:tc>
          <w:tcPr>
            <w:tcW w:w="2331" w:type="dxa"/>
            <w:tcBorders>
              <w:top w:val="dotted" w:sz="4" w:space="0" w:color="E6344B"/>
              <w:left w:val="nil"/>
              <w:bottom w:val="dotted" w:sz="4" w:space="0" w:color="E6344B"/>
              <w:right w:val="nil"/>
            </w:tcBorders>
            <w:shd w:val="clear" w:color="000000" w:fill="BB1823"/>
            <w:noWrap/>
            <w:vAlign w:val="center"/>
            <w:hideMark/>
          </w:tcPr>
          <w:p w14:paraId="3158DB1C" w14:textId="77777777" w:rsidR="00BA557E" w:rsidRPr="00565D55" w:rsidRDefault="00BA557E" w:rsidP="00BA557E">
            <w:pPr>
              <w:pStyle w:val="Sinespaciado"/>
              <w:rPr>
                <w:rFonts w:eastAsia="Times New Roman" w:cs="Calibri"/>
                <w:color w:val="FFFFFF"/>
                <w:sz w:val="18"/>
                <w:szCs w:val="18"/>
                <w:lang w:eastAsia="es-CL"/>
              </w:rPr>
            </w:pPr>
            <w:r w:rsidRPr="00565D55">
              <w:rPr>
                <w:rFonts w:eastAsia="Times New Roman" w:cs="Calibri"/>
                <w:color w:val="FFFFFF"/>
                <w:sz w:val="18"/>
                <w:szCs w:val="18"/>
                <w:lang w:eastAsia="es-CL"/>
              </w:rPr>
              <w:t>Pasivos corrientes</w:t>
            </w:r>
          </w:p>
        </w:tc>
        <w:tc>
          <w:tcPr>
            <w:tcW w:w="1191" w:type="dxa"/>
            <w:gridSpan w:val="2"/>
            <w:tcBorders>
              <w:top w:val="dotted" w:sz="4" w:space="0" w:color="E6344B"/>
              <w:left w:val="nil"/>
              <w:bottom w:val="dotted" w:sz="4" w:space="0" w:color="E6344B"/>
              <w:right w:val="nil"/>
            </w:tcBorders>
            <w:shd w:val="clear" w:color="auto" w:fill="auto"/>
            <w:noWrap/>
            <w:vAlign w:val="center"/>
            <w:hideMark/>
          </w:tcPr>
          <w:p w14:paraId="38DA7D44" w14:textId="16981912" w:rsidR="00BA557E" w:rsidRPr="00565D55" w:rsidRDefault="00BA557E" w:rsidP="00BA557E">
            <w:pPr>
              <w:pStyle w:val="Sinespaciado"/>
              <w:jc w:val="right"/>
              <w:rPr>
                <w:rFonts w:eastAsia="Times New Roman" w:cs="Calibri"/>
                <w:color w:val="333D6B"/>
                <w:sz w:val="18"/>
                <w:szCs w:val="18"/>
                <w:lang w:eastAsia="es-CL"/>
              </w:rPr>
            </w:pPr>
            <w:r>
              <w:rPr>
                <w:rFonts w:cs="Arial"/>
                <w:color w:val="333D6B"/>
                <w:sz w:val="18"/>
                <w:szCs w:val="18"/>
              </w:rPr>
              <w:t>37.985.194</w:t>
            </w:r>
          </w:p>
        </w:tc>
        <w:tc>
          <w:tcPr>
            <w:tcW w:w="1191" w:type="dxa"/>
            <w:gridSpan w:val="2"/>
            <w:tcBorders>
              <w:top w:val="dotted" w:sz="4" w:space="0" w:color="E6344B"/>
              <w:left w:val="nil"/>
              <w:bottom w:val="dotted" w:sz="4" w:space="0" w:color="E6344B"/>
              <w:right w:val="nil"/>
            </w:tcBorders>
            <w:shd w:val="clear" w:color="auto" w:fill="auto"/>
            <w:noWrap/>
            <w:vAlign w:val="center"/>
            <w:hideMark/>
          </w:tcPr>
          <w:p w14:paraId="3104671B" w14:textId="67A73A41" w:rsidR="00BA557E" w:rsidRPr="00565D55" w:rsidRDefault="00BA557E" w:rsidP="00BA557E">
            <w:pPr>
              <w:pStyle w:val="Sinespaciado"/>
              <w:jc w:val="right"/>
              <w:rPr>
                <w:rFonts w:eastAsia="Times New Roman" w:cs="Calibri"/>
                <w:color w:val="333D6B"/>
                <w:sz w:val="18"/>
                <w:szCs w:val="18"/>
                <w:lang w:eastAsia="es-CL"/>
              </w:rPr>
            </w:pPr>
            <w:r>
              <w:rPr>
                <w:rFonts w:cs="Arial"/>
                <w:color w:val="333D6B"/>
                <w:sz w:val="18"/>
                <w:szCs w:val="18"/>
              </w:rPr>
              <w:t>51.008.669</w:t>
            </w:r>
          </w:p>
        </w:tc>
        <w:tc>
          <w:tcPr>
            <w:tcW w:w="1191" w:type="dxa"/>
            <w:tcBorders>
              <w:top w:val="dotted" w:sz="4" w:space="0" w:color="E6344B"/>
              <w:left w:val="nil"/>
              <w:bottom w:val="dotted" w:sz="4" w:space="0" w:color="E6344B"/>
              <w:right w:val="nil"/>
            </w:tcBorders>
            <w:shd w:val="clear" w:color="auto" w:fill="auto"/>
            <w:noWrap/>
            <w:vAlign w:val="center"/>
            <w:hideMark/>
          </w:tcPr>
          <w:p w14:paraId="10F442A4" w14:textId="6B687279" w:rsidR="00BA557E" w:rsidRPr="00565D55" w:rsidRDefault="00BA557E" w:rsidP="00BA557E">
            <w:pPr>
              <w:pStyle w:val="Sinespaciado"/>
              <w:jc w:val="right"/>
              <w:rPr>
                <w:rFonts w:eastAsia="Times New Roman" w:cs="Calibri"/>
                <w:color w:val="333D6B"/>
                <w:sz w:val="18"/>
                <w:szCs w:val="18"/>
                <w:lang w:eastAsia="es-CL"/>
              </w:rPr>
            </w:pPr>
            <w:r>
              <w:rPr>
                <w:rFonts w:cs="Arial"/>
                <w:color w:val="333D6B"/>
                <w:sz w:val="18"/>
                <w:szCs w:val="18"/>
              </w:rPr>
              <w:t>50.262.070</w:t>
            </w:r>
          </w:p>
        </w:tc>
        <w:tc>
          <w:tcPr>
            <w:tcW w:w="1191" w:type="dxa"/>
            <w:gridSpan w:val="2"/>
            <w:tcBorders>
              <w:top w:val="dotted" w:sz="4" w:space="0" w:color="E6344B"/>
              <w:left w:val="nil"/>
              <w:bottom w:val="dotted" w:sz="4" w:space="0" w:color="E6344B"/>
              <w:right w:val="nil"/>
            </w:tcBorders>
            <w:shd w:val="clear" w:color="auto" w:fill="auto"/>
            <w:noWrap/>
            <w:vAlign w:val="center"/>
            <w:hideMark/>
          </w:tcPr>
          <w:p w14:paraId="05AD3A2A" w14:textId="120484F4" w:rsidR="00BA557E" w:rsidRPr="00565D55" w:rsidRDefault="00BA557E" w:rsidP="00BA557E">
            <w:pPr>
              <w:pStyle w:val="Sinespaciado"/>
              <w:jc w:val="right"/>
              <w:rPr>
                <w:rFonts w:eastAsia="Times New Roman" w:cs="Calibri"/>
                <w:color w:val="333D6B"/>
                <w:sz w:val="18"/>
                <w:szCs w:val="18"/>
                <w:lang w:eastAsia="es-CL"/>
              </w:rPr>
            </w:pPr>
            <w:r>
              <w:rPr>
                <w:rFonts w:cs="Arial"/>
                <w:color w:val="333D6B"/>
                <w:sz w:val="18"/>
                <w:szCs w:val="18"/>
              </w:rPr>
              <w:t>42.211.221</w:t>
            </w:r>
          </w:p>
        </w:tc>
        <w:tc>
          <w:tcPr>
            <w:tcW w:w="1191" w:type="dxa"/>
            <w:gridSpan w:val="2"/>
            <w:tcBorders>
              <w:top w:val="dotted" w:sz="4" w:space="0" w:color="E6344B"/>
              <w:left w:val="nil"/>
              <w:bottom w:val="dotted" w:sz="4" w:space="0" w:color="E6344B"/>
              <w:right w:val="nil"/>
            </w:tcBorders>
            <w:shd w:val="clear" w:color="auto" w:fill="auto"/>
            <w:noWrap/>
            <w:vAlign w:val="center"/>
            <w:hideMark/>
          </w:tcPr>
          <w:p w14:paraId="619D13A7" w14:textId="45EBA798" w:rsidR="00BA557E" w:rsidRPr="00565D55" w:rsidRDefault="00BA557E" w:rsidP="00BA557E">
            <w:pPr>
              <w:pStyle w:val="Sinespaciado"/>
              <w:jc w:val="right"/>
              <w:rPr>
                <w:rFonts w:eastAsia="Times New Roman" w:cs="Calibri"/>
                <w:color w:val="333D6B"/>
                <w:sz w:val="18"/>
                <w:szCs w:val="18"/>
                <w:lang w:eastAsia="es-CL"/>
              </w:rPr>
            </w:pPr>
            <w:r>
              <w:rPr>
                <w:rFonts w:cs="Arial"/>
                <w:color w:val="333D6B"/>
                <w:sz w:val="18"/>
                <w:szCs w:val="18"/>
              </w:rPr>
              <w:t>38.519.297</w:t>
            </w:r>
          </w:p>
        </w:tc>
        <w:tc>
          <w:tcPr>
            <w:tcW w:w="1191" w:type="dxa"/>
            <w:gridSpan w:val="2"/>
            <w:tcBorders>
              <w:top w:val="dotted" w:sz="4" w:space="0" w:color="E6344B"/>
              <w:left w:val="nil"/>
              <w:bottom w:val="dotted" w:sz="4" w:space="0" w:color="E6344B"/>
              <w:right w:val="nil"/>
            </w:tcBorders>
            <w:shd w:val="clear" w:color="auto" w:fill="auto"/>
            <w:noWrap/>
            <w:vAlign w:val="center"/>
            <w:hideMark/>
          </w:tcPr>
          <w:p w14:paraId="6207E8EC" w14:textId="37E4A7E4" w:rsidR="00BA557E" w:rsidRPr="00565D55" w:rsidRDefault="00BA557E" w:rsidP="00BA557E">
            <w:pPr>
              <w:pStyle w:val="Sinespaciado"/>
              <w:jc w:val="right"/>
              <w:rPr>
                <w:rFonts w:eastAsia="Times New Roman" w:cs="Calibri"/>
                <w:color w:val="333D6B"/>
                <w:sz w:val="18"/>
                <w:szCs w:val="18"/>
                <w:lang w:eastAsia="es-CL"/>
              </w:rPr>
            </w:pPr>
            <w:r>
              <w:rPr>
                <w:rFonts w:cs="Arial"/>
                <w:color w:val="333D6B"/>
                <w:sz w:val="18"/>
                <w:szCs w:val="18"/>
              </w:rPr>
              <w:t>37.152.495</w:t>
            </w:r>
          </w:p>
        </w:tc>
      </w:tr>
      <w:tr w:rsidR="00BA557E" w:rsidRPr="00565D55" w14:paraId="49642B2F" w14:textId="77777777" w:rsidTr="003F0D2C">
        <w:trPr>
          <w:gridAfter w:val="1"/>
          <w:wAfter w:w="269" w:type="dxa"/>
          <w:trHeight w:val="300"/>
        </w:trPr>
        <w:tc>
          <w:tcPr>
            <w:tcW w:w="2331" w:type="dxa"/>
            <w:tcBorders>
              <w:top w:val="nil"/>
              <w:left w:val="nil"/>
              <w:bottom w:val="dotted" w:sz="4" w:space="0" w:color="E6344B"/>
              <w:right w:val="nil"/>
            </w:tcBorders>
            <w:shd w:val="clear" w:color="000000" w:fill="BB1823"/>
            <w:noWrap/>
            <w:vAlign w:val="center"/>
            <w:hideMark/>
          </w:tcPr>
          <w:p w14:paraId="0EE5A72F" w14:textId="77777777" w:rsidR="00BA557E" w:rsidRPr="00565D55" w:rsidRDefault="00BA557E" w:rsidP="00BA557E">
            <w:pPr>
              <w:pStyle w:val="Sinespaciado"/>
              <w:rPr>
                <w:rFonts w:eastAsia="Times New Roman" w:cs="Calibri"/>
                <w:color w:val="FFFFFF"/>
                <w:sz w:val="18"/>
                <w:szCs w:val="18"/>
                <w:lang w:eastAsia="es-CL"/>
              </w:rPr>
            </w:pPr>
            <w:r w:rsidRPr="00565D55">
              <w:rPr>
                <w:rFonts w:eastAsia="Times New Roman" w:cs="Calibri"/>
                <w:color w:val="FFFFFF"/>
                <w:sz w:val="18"/>
                <w:szCs w:val="18"/>
                <w:lang w:eastAsia="es-CL"/>
              </w:rPr>
              <w:t>Pasivos no corrientes</w:t>
            </w:r>
          </w:p>
        </w:tc>
        <w:tc>
          <w:tcPr>
            <w:tcW w:w="1191" w:type="dxa"/>
            <w:gridSpan w:val="2"/>
            <w:tcBorders>
              <w:top w:val="nil"/>
              <w:left w:val="nil"/>
              <w:bottom w:val="dotted" w:sz="4" w:space="0" w:color="E6344B"/>
              <w:right w:val="nil"/>
            </w:tcBorders>
            <w:shd w:val="clear" w:color="auto" w:fill="auto"/>
            <w:noWrap/>
            <w:vAlign w:val="center"/>
            <w:hideMark/>
          </w:tcPr>
          <w:p w14:paraId="1B4B6B93" w14:textId="41F275CB" w:rsidR="00BA557E" w:rsidRPr="00565D55" w:rsidRDefault="00BA557E" w:rsidP="00BA557E">
            <w:pPr>
              <w:pStyle w:val="Sinespaciado"/>
              <w:jc w:val="right"/>
              <w:rPr>
                <w:rFonts w:eastAsia="Times New Roman" w:cs="Calibri"/>
                <w:color w:val="333D6B"/>
                <w:sz w:val="18"/>
                <w:szCs w:val="18"/>
                <w:lang w:eastAsia="es-CL"/>
              </w:rPr>
            </w:pPr>
            <w:r>
              <w:rPr>
                <w:rFonts w:cs="Arial"/>
                <w:color w:val="333D6B"/>
                <w:sz w:val="18"/>
                <w:szCs w:val="18"/>
              </w:rPr>
              <w:t>381.188.272</w:t>
            </w:r>
          </w:p>
        </w:tc>
        <w:tc>
          <w:tcPr>
            <w:tcW w:w="1191" w:type="dxa"/>
            <w:gridSpan w:val="2"/>
            <w:tcBorders>
              <w:top w:val="nil"/>
              <w:left w:val="nil"/>
              <w:bottom w:val="dotted" w:sz="4" w:space="0" w:color="E6344B"/>
              <w:right w:val="nil"/>
            </w:tcBorders>
            <w:shd w:val="clear" w:color="auto" w:fill="auto"/>
            <w:noWrap/>
            <w:vAlign w:val="center"/>
            <w:hideMark/>
          </w:tcPr>
          <w:p w14:paraId="376AB467" w14:textId="76209975" w:rsidR="00BA557E" w:rsidRPr="00565D55" w:rsidRDefault="00BA557E" w:rsidP="00BA557E">
            <w:pPr>
              <w:pStyle w:val="Sinespaciado"/>
              <w:jc w:val="right"/>
              <w:rPr>
                <w:rFonts w:eastAsia="Times New Roman" w:cs="Calibri"/>
                <w:color w:val="333D6B"/>
                <w:sz w:val="18"/>
                <w:szCs w:val="18"/>
                <w:lang w:eastAsia="es-CL"/>
              </w:rPr>
            </w:pPr>
            <w:r>
              <w:rPr>
                <w:rFonts w:cs="Arial"/>
                <w:color w:val="333D6B"/>
                <w:sz w:val="18"/>
                <w:szCs w:val="18"/>
              </w:rPr>
              <w:t>367.277.829</w:t>
            </w:r>
          </w:p>
        </w:tc>
        <w:tc>
          <w:tcPr>
            <w:tcW w:w="1191" w:type="dxa"/>
            <w:tcBorders>
              <w:top w:val="nil"/>
              <w:left w:val="nil"/>
              <w:bottom w:val="dotted" w:sz="4" w:space="0" w:color="E6344B"/>
              <w:right w:val="nil"/>
            </w:tcBorders>
            <w:shd w:val="clear" w:color="auto" w:fill="auto"/>
            <w:noWrap/>
            <w:vAlign w:val="center"/>
            <w:hideMark/>
          </w:tcPr>
          <w:p w14:paraId="1397B0A2" w14:textId="74E57B88" w:rsidR="00BA557E" w:rsidRPr="00565D55" w:rsidRDefault="00BA557E" w:rsidP="00BA557E">
            <w:pPr>
              <w:pStyle w:val="Sinespaciado"/>
              <w:jc w:val="right"/>
              <w:rPr>
                <w:rFonts w:eastAsia="Times New Roman" w:cs="Calibri"/>
                <w:color w:val="333D6B"/>
                <w:sz w:val="18"/>
                <w:szCs w:val="18"/>
                <w:lang w:eastAsia="es-CL"/>
              </w:rPr>
            </w:pPr>
            <w:r>
              <w:rPr>
                <w:rFonts w:cs="Arial"/>
                <w:color w:val="333D6B"/>
                <w:sz w:val="18"/>
                <w:szCs w:val="18"/>
              </w:rPr>
              <w:t>357.084.395</w:t>
            </w:r>
          </w:p>
        </w:tc>
        <w:tc>
          <w:tcPr>
            <w:tcW w:w="1191" w:type="dxa"/>
            <w:gridSpan w:val="2"/>
            <w:tcBorders>
              <w:top w:val="nil"/>
              <w:left w:val="nil"/>
              <w:bottom w:val="dotted" w:sz="4" w:space="0" w:color="E6344B"/>
              <w:right w:val="nil"/>
            </w:tcBorders>
            <w:shd w:val="clear" w:color="auto" w:fill="auto"/>
            <w:noWrap/>
            <w:vAlign w:val="center"/>
            <w:hideMark/>
          </w:tcPr>
          <w:p w14:paraId="3D5FE8D4" w14:textId="63D2208D" w:rsidR="00BA557E" w:rsidRPr="00565D55" w:rsidRDefault="00BA557E" w:rsidP="00BA557E">
            <w:pPr>
              <w:pStyle w:val="Sinespaciado"/>
              <w:jc w:val="right"/>
              <w:rPr>
                <w:rFonts w:eastAsia="Times New Roman" w:cs="Calibri"/>
                <w:color w:val="333D6B"/>
                <w:sz w:val="18"/>
                <w:szCs w:val="18"/>
                <w:lang w:eastAsia="es-CL"/>
              </w:rPr>
            </w:pPr>
            <w:r>
              <w:rPr>
                <w:rFonts w:cs="Arial"/>
                <w:color w:val="333D6B"/>
                <w:sz w:val="18"/>
                <w:szCs w:val="18"/>
              </w:rPr>
              <w:t>344.712.439</w:t>
            </w:r>
          </w:p>
        </w:tc>
        <w:tc>
          <w:tcPr>
            <w:tcW w:w="1191" w:type="dxa"/>
            <w:gridSpan w:val="2"/>
            <w:tcBorders>
              <w:top w:val="nil"/>
              <w:left w:val="nil"/>
              <w:bottom w:val="dotted" w:sz="4" w:space="0" w:color="E6344B"/>
              <w:right w:val="nil"/>
            </w:tcBorders>
            <w:shd w:val="clear" w:color="auto" w:fill="auto"/>
            <w:noWrap/>
            <w:vAlign w:val="center"/>
            <w:hideMark/>
          </w:tcPr>
          <w:p w14:paraId="2373ECC7" w14:textId="6785F578" w:rsidR="00BA557E" w:rsidRPr="00565D55" w:rsidRDefault="00BA557E" w:rsidP="00BA557E">
            <w:pPr>
              <w:pStyle w:val="Sinespaciado"/>
              <w:jc w:val="right"/>
              <w:rPr>
                <w:rFonts w:eastAsia="Times New Roman" w:cs="Calibri"/>
                <w:color w:val="333D6B"/>
                <w:sz w:val="18"/>
                <w:szCs w:val="18"/>
                <w:lang w:eastAsia="es-CL"/>
              </w:rPr>
            </w:pPr>
            <w:r>
              <w:rPr>
                <w:rFonts w:cs="Arial"/>
                <w:color w:val="333D6B"/>
                <w:sz w:val="18"/>
                <w:szCs w:val="18"/>
              </w:rPr>
              <w:t>319.643.632</w:t>
            </w:r>
          </w:p>
        </w:tc>
        <w:tc>
          <w:tcPr>
            <w:tcW w:w="1191" w:type="dxa"/>
            <w:gridSpan w:val="2"/>
            <w:tcBorders>
              <w:top w:val="nil"/>
              <w:left w:val="nil"/>
              <w:bottom w:val="dotted" w:sz="4" w:space="0" w:color="E6344B"/>
              <w:right w:val="nil"/>
            </w:tcBorders>
            <w:shd w:val="clear" w:color="auto" w:fill="auto"/>
            <w:noWrap/>
            <w:vAlign w:val="center"/>
            <w:hideMark/>
          </w:tcPr>
          <w:p w14:paraId="314F4704" w14:textId="03927FC4" w:rsidR="00BA557E" w:rsidRPr="00565D55" w:rsidRDefault="00BA557E" w:rsidP="00BA557E">
            <w:pPr>
              <w:pStyle w:val="Sinespaciado"/>
              <w:jc w:val="right"/>
              <w:rPr>
                <w:rFonts w:eastAsia="Times New Roman" w:cs="Calibri"/>
                <w:color w:val="333D6B"/>
                <w:sz w:val="18"/>
                <w:szCs w:val="18"/>
                <w:lang w:eastAsia="es-CL"/>
              </w:rPr>
            </w:pPr>
            <w:r>
              <w:rPr>
                <w:rFonts w:cs="Arial"/>
                <w:color w:val="333D6B"/>
                <w:sz w:val="18"/>
                <w:szCs w:val="18"/>
              </w:rPr>
              <w:t>317.146.929</w:t>
            </w:r>
          </w:p>
        </w:tc>
      </w:tr>
      <w:tr w:rsidR="00BA557E" w:rsidRPr="00565D55" w14:paraId="232F5326" w14:textId="77777777" w:rsidTr="003F0D2C">
        <w:trPr>
          <w:gridAfter w:val="1"/>
          <w:wAfter w:w="269" w:type="dxa"/>
          <w:trHeight w:val="300"/>
        </w:trPr>
        <w:tc>
          <w:tcPr>
            <w:tcW w:w="2331" w:type="dxa"/>
            <w:tcBorders>
              <w:top w:val="nil"/>
              <w:left w:val="nil"/>
              <w:bottom w:val="dotted" w:sz="4" w:space="0" w:color="E6344B"/>
              <w:right w:val="nil"/>
            </w:tcBorders>
            <w:shd w:val="clear" w:color="000000" w:fill="BB1823"/>
            <w:noWrap/>
            <w:vAlign w:val="center"/>
            <w:hideMark/>
          </w:tcPr>
          <w:p w14:paraId="22D995E6" w14:textId="77777777" w:rsidR="00BA557E" w:rsidRPr="00565D55" w:rsidRDefault="00BA557E" w:rsidP="00BA557E">
            <w:pPr>
              <w:pStyle w:val="Sinespaciado"/>
              <w:rPr>
                <w:rFonts w:eastAsia="Times New Roman" w:cs="Calibri"/>
                <w:color w:val="FFFFFF"/>
                <w:sz w:val="18"/>
                <w:szCs w:val="18"/>
                <w:lang w:eastAsia="es-CL"/>
              </w:rPr>
            </w:pPr>
            <w:r w:rsidRPr="00565D55">
              <w:rPr>
                <w:rFonts w:eastAsia="Times New Roman" w:cs="Calibri"/>
                <w:color w:val="FFFFFF"/>
                <w:sz w:val="18"/>
                <w:szCs w:val="18"/>
                <w:lang w:eastAsia="es-CL"/>
              </w:rPr>
              <w:t>Patrimonio</w:t>
            </w:r>
          </w:p>
        </w:tc>
        <w:tc>
          <w:tcPr>
            <w:tcW w:w="1191" w:type="dxa"/>
            <w:gridSpan w:val="2"/>
            <w:tcBorders>
              <w:top w:val="nil"/>
              <w:left w:val="nil"/>
              <w:bottom w:val="dotted" w:sz="4" w:space="0" w:color="E6344B"/>
              <w:right w:val="nil"/>
            </w:tcBorders>
            <w:shd w:val="clear" w:color="auto" w:fill="auto"/>
            <w:noWrap/>
            <w:vAlign w:val="center"/>
            <w:hideMark/>
          </w:tcPr>
          <w:p w14:paraId="10585AA5" w14:textId="6DFB505B" w:rsidR="00BA557E" w:rsidRPr="00565D55" w:rsidRDefault="00BA557E" w:rsidP="00BA557E">
            <w:pPr>
              <w:pStyle w:val="Sinespaciado"/>
              <w:jc w:val="right"/>
              <w:rPr>
                <w:rFonts w:eastAsia="Times New Roman" w:cs="Calibri"/>
                <w:color w:val="333D6B"/>
                <w:sz w:val="18"/>
                <w:szCs w:val="18"/>
                <w:lang w:eastAsia="es-CL"/>
              </w:rPr>
            </w:pPr>
            <w:r>
              <w:rPr>
                <w:rFonts w:cs="Arial"/>
                <w:color w:val="333D6B"/>
                <w:sz w:val="18"/>
                <w:szCs w:val="18"/>
              </w:rPr>
              <w:t>84.494.586</w:t>
            </w:r>
          </w:p>
        </w:tc>
        <w:tc>
          <w:tcPr>
            <w:tcW w:w="1191" w:type="dxa"/>
            <w:gridSpan w:val="2"/>
            <w:tcBorders>
              <w:top w:val="nil"/>
              <w:left w:val="nil"/>
              <w:bottom w:val="dotted" w:sz="4" w:space="0" w:color="E6344B"/>
              <w:right w:val="nil"/>
            </w:tcBorders>
            <w:shd w:val="clear" w:color="auto" w:fill="auto"/>
            <w:noWrap/>
            <w:vAlign w:val="center"/>
            <w:hideMark/>
          </w:tcPr>
          <w:p w14:paraId="289A275C" w14:textId="7A8ED792" w:rsidR="00BA557E" w:rsidRPr="00565D55" w:rsidRDefault="00BA557E" w:rsidP="00BA557E">
            <w:pPr>
              <w:pStyle w:val="Sinespaciado"/>
              <w:jc w:val="right"/>
              <w:rPr>
                <w:rFonts w:eastAsia="Times New Roman" w:cs="Calibri"/>
                <w:color w:val="333D6B"/>
                <w:sz w:val="18"/>
                <w:szCs w:val="18"/>
                <w:lang w:eastAsia="es-CL"/>
              </w:rPr>
            </w:pPr>
            <w:r>
              <w:rPr>
                <w:rFonts w:cs="Arial"/>
                <w:color w:val="333D6B"/>
                <w:sz w:val="18"/>
                <w:szCs w:val="18"/>
              </w:rPr>
              <w:t>93.181.170</w:t>
            </w:r>
          </w:p>
        </w:tc>
        <w:tc>
          <w:tcPr>
            <w:tcW w:w="1191" w:type="dxa"/>
            <w:tcBorders>
              <w:top w:val="nil"/>
              <w:left w:val="nil"/>
              <w:bottom w:val="dotted" w:sz="4" w:space="0" w:color="E6344B"/>
              <w:right w:val="nil"/>
            </w:tcBorders>
            <w:shd w:val="clear" w:color="auto" w:fill="auto"/>
            <w:noWrap/>
            <w:vAlign w:val="center"/>
            <w:hideMark/>
          </w:tcPr>
          <w:p w14:paraId="3CE4CFD6" w14:textId="3C6E43D2" w:rsidR="00BA557E" w:rsidRPr="00565D55" w:rsidRDefault="00BA557E" w:rsidP="00BA557E">
            <w:pPr>
              <w:pStyle w:val="Sinespaciado"/>
              <w:jc w:val="right"/>
              <w:rPr>
                <w:rFonts w:eastAsia="Times New Roman" w:cs="Calibri"/>
                <w:color w:val="333D6B"/>
                <w:sz w:val="18"/>
                <w:szCs w:val="18"/>
                <w:lang w:eastAsia="es-CL"/>
              </w:rPr>
            </w:pPr>
            <w:r>
              <w:rPr>
                <w:rFonts w:cs="Arial"/>
                <w:color w:val="333D6B"/>
                <w:sz w:val="18"/>
                <w:szCs w:val="18"/>
              </w:rPr>
              <w:t>115.148.368</w:t>
            </w:r>
          </w:p>
        </w:tc>
        <w:tc>
          <w:tcPr>
            <w:tcW w:w="1191" w:type="dxa"/>
            <w:gridSpan w:val="2"/>
            <w:tcBorders>
              <w:top w:val="nil"/>
              <w:left w:val="nil"/>
              <w:bottom w:val="dotted" w:sz="4" w:space="0" w:color="E6344B"/>
              <w:right w:val="nil"/>
            </w:tcBorders>
            <w:shd w:val="clear" w:color="auto" w:fill="auto"/>
            <w:noWrap/>
            <w:vAlign w:val="center"/>
            <w:hideMark/>
          </w:tcPr>
          <w:p w14:paraId="31060F4C" w14:textId="630863B0" w:rsidR="00BA557E" w:rsidRPr="00565D55" w:rsidRDefault="00BA557E" w:rsidP="00BA557E">
            <w:pPr>
              <w:pStyle w:val="Sinespaciado"/>
              <w:jc w:val="right"/>
              <w:rPr>
                <w:rFonts w:eastAsia="Times New Roman" w:cs="Calibri"/>
                <w:color w:val="333D6B"/>
                <w:sz w:val="18"/>
                <w:szCs w:val="18"/>
                <w:lang w:eastAsia="es-CL"/>
              </w:rPr>
            </w:pPr>
            <w:r>
              <w:rPr>
                <w:rFonts w:cs="Arial"/>
                <w:color w:val="333D6B"/>
                <w:sz w:val="18"/>
                <w:szCs w:val="18"/>
              </w:rPr>
              <w:t>116.761.522</w:t>
            </w:r>
          </w:p>
        </w:tc>
        <w:tc>
          <w:tcPr>
            <w:tcW w:w="1191" w:type="dxa"/>
            <w:gridSpan w:val="2"/>
            <w:tcBorders>
              <w:top w:val="nil"/>
              <w:left w:val="nil"/>
              <w:bottom w:val="dotted" w:sz="4" w:space="0" w:color="E6344B"/>
              <w:right w:val="nil"/>
            </w:tcBorders>
            <w:shd w:val="clear" w:color="auto" w:fill="auto"/>
            <w:noWrap/>
            <w:vAlign w:val="center"/>
            <w:hideMark/>
          </w:tcPr>
          <w:p w14:paraId="5085A62F" w14:textId="1D16B6BD" w:rsidR="00BA557E" w:rsidRPr="00565D55" w:rsidRDefault="00BA557E" w:rsidP="00BA557E">
            <w:pPr>
              <w:pStyle w:val="Sinespaciado"/>
              <w:jc w:val="right"/>
              <w:rPr>
                <w:rFonts w:eastAsia="Times New Roman" w:cs="Calibri"/>
                <w:color w:val="333D6B"/>
                <w:sz w:val="18"/>
                <w:szCs w:val="18"/>
                <w:lang w:eastAsia="es-CL"/>
              </w:rPr>
            </w:pPr>
            <w:r>
              <w:rPr>
                <w:rFonts w:cs="Arial"/>
                <w:color w:val="333D6B"/>
                <w:sz w:val="18"/>
                <w:szCs w:val="18"/>
              </w:rPr>
              <w:t>171.452.176</w:t>
            </w:r>
          </w:p>
        </w:tc>
        <w:tc>
          <w:tcPr>
            <w:tcW w:w="1191" w:type="dxa"/>
            <w:gridSpan w:val="2"/>
            <w:tcBorders>
              <w:top w:val="nil"/>
              <w:left w:val="nil"/>
              <w:bottom w:val="dotted" w:sz="4" w:space="0" w:color="E6344B"/>
              <w:right w:val="nil"/>
            </w:tcBorders>
            <w:shd w:val="clear" w:color="auto" w:fill="auto"/>
            <w:noWrap/>
            <w:vAlign w:val="center"/>
            <w:hideMark/>
          </w:tcPr>
          <w:p w14:paraId="32452F2B" w14:textId="7926754F" w:rsidR="00BA557E" w:rsidRPr="00565D55" w:rsidRDefault="00BA557E" w:rsidP="00BA557E">
            <w:pPr>
              <w:pStyle w:val="Sinespaciado"/>
              <w:jc w:val="right"/>
              <w:rPr>
                <w:rFonts w:eastAsia="Times New Roman" w:cs="Calibri"/>
                <w:color w:val="333D6B"/>
                <w:sz w:val="18"/>
                <w:szCs w:val="18"/>
                <w:lang w:eastAsia="es-CL"/>
              </w:rPr>
            </w:pPr>
            <w:r>
              <w:rPr>
                <w:rFonts w:cs="Arial"/>
                <w:color w:val="333D6B"/>
                <w:sz w:val="18"/>
                <w:szCs w:val="18"/>
              </w:rPr>
              <w:t>171.312.844</w:t>
            </w:r>
          </w:p>
        </w:tc>
      </w:tr>
      <w:tr w:rsidR="00BA557E" w:rsidRPr="00565D55" w14:paraId="65CEC76E" w14:textId="77777777" w:rsidTr="003F0D2C">
        <w:trPr>
          <w:gridAfter w:val="1"/>
          <w:wAfter w:w="269" w:type="dxa"/>
          <w:trHeight w:val="300"/>
        </w:trPr>
        <w:tc>
          <w:tcPr>
            <w:tcW w:w="2331" w:type="dxa"/>
            <w:tcBorders>
              <w:top w:val="nil"/>
              <w:left w:val="nil"/>
              <w:bottom w:val="dotted" w:sz="4" w:space="0" w:color="E6344B"/>
              <w:right w:val="nil"/>
            </w:tcBorders>
            <w:shd w:val="clear" w:color="000000" w:fill="BB1823"/>
            <w:noWrap/>
            <w:vAlign w:val="center"/>
          </w:tcPr>
          <w:p w14:paraId="22FA5F80" w14:textId="0B10382E" w:rsidR="00BA557E" w:rsidRPr="00565D55" w:rsidRDefault="00BA557E" w:rsidP="00BA557E">
            <w:pPr>
              <w:pStyle w:val="Sinespaciado"/>
              <w:rPr>
                <w:rFonts w:eastAsia="Times New Roman" w:cs="Calibri"/>
                <w:color w:val="FFFFFF"/>
                <w:sz w:val="18"/>
                <w:szCs w:val="18"/>
                <w:lang w:eastAsia="es-CL"/>
              </w:rPr>
            </w:pPr>
            <w:r w:rsidRPr="00565D55">
              <w:rPr>
                <w:rFonts w:eastAsia="Times New Roman" w:cs="Calibri"/>
                <w:b/>
                <w:bCs/>
                <w:color w:val="FFFFFF"/>
                <w:sz w:val="18"/>
                <w:szCs w:val="18"/>
                <w:lang w:eastAsia="es-CL"/>
              </w:rPr>
              <w:t>Total patrimonio y pasivos</w:t>
            </w:r>
          </w:p>
        </w:tc>
        <w:tc>
          <w:tcPr>
            <w:tcW w:w="1191" w:type="dxa"/>
            <w:gridSpan w:val="2"/>
            <w:tcBorders>
              <w:top w:val="nil"/>
              <w:left w:val="nil"/>
              <w:bottom w:val="dotted" w:sz="4" w:space="0" w:color="E6344B"/>
              <w:right w:val="nil"/>
            </w:tcBorders>
            <w:shd w:val="clear" w:color="auto" w:fill="auto"/>
            <w:noWrap/>
            <w:vAlign w:val="center"/>
          </w:tcPr>
          <w:p w14:paraId="7A2E8425" w14:textId="536F538E" w:rsidR="00BA557E" w:rsidRPr="00565D55" w:rsidRDefault="00BA557E" w:rsidP="00BA557E">
            <w:pPr>
              <w:pStyle w:val="Sinespaciado"/>
              <w:jc w:val="right"/>
              <w:rPr>
                <w:rFonts w:eastAsia="Times New Roman" w:cs="Calibri"/>
                <w:color w:val="333D6B"/>
                <w:sz w:val="18"/>
                <w:szCs w:val="18"/>
                <w:lang w:eastAsia="es-CL"/>
              </w:rPr>
            </w:pPr>
            <w:r>
              <w:rPr>
                <w:rFonts w:cs="Arial"/>
                <w:b/>
                <w:bCs/>
                <w:color w:val="333D6B"/>
                <w:sz w:val="18"/>
                <w:szCs w:val="18"/>
              </w:rPr>
              <w:t>503.668.052</w:t>
            </w:r>
          </w:p>
        </w:tc>
        <w:tc>
          <w:tcPr>
            <w:tcW w:w="1191" w:type="dxa"/>
            <w:gridSpan w:val="2"/>
            <w:tcBorders>
              <w:top w:val="nil"/>
              <w:left w:val="nil"/>
              <w:bottom w:val="dotted" w:sz="4" w:space="0" w:color="E6344B"/>
              <w:right w:val="nil"/>
            </w:tcBorders>
            <w:shd w:val="clear" w:color="auto" w:fill="auto"/>
            <w:noWrap/>
            <w:vAlign w:val="center"/>
          </w:tcPr>
          <w:p w14:paraId="659066B1" w14:textId="70E5522A" w:rsidR="00BA557E" w:rsidRPr="00565D55" w:rsidRDefault="00BA557E" w:rsidP="00BA557E">
            <w:pPr>
              <w:pStyle w:val="Sinespaciado"/>
              <w:jc w:val="right"/>
              <w:rPr>
                <w:rFonts w:eastAsia="Times New Roman" w:cs="Calibri"/>
                <w:color w:val="333D6B"/>
                <w:sz w:val="18"/>
                <w:szCs w:val="18"/>
                <w:lang w:eastAsia="es-CL"/>
              </w:rPr>
            </w:pPr>
            <w:r>
              <w:rPr>
                <w:rFonts w:cs="Arial"/>
                <w:b/>
                <w:bCs/>
                <w:color w:val="333D6B"/>
                <w:sz w:val="18"/>
                <w:szCs w:val="18"/>
              </w:rPr>
              <w:t>511.467.668</w:t>
            </w:r>
          </w:p>
        </w:tc>
        <w:tc>
          <w:tcPr>
            <w:tcW w:w="1191" w:type="dxa"/>
            <w:tcBorders>
              <w:top w:val="nil"/>
              <w:left w:val="nil"/>
              <w:bottom w:val="dotted" w:sz="4" w:space="0" w:color="E6344B"/>
              <w:right w:val="nil"/>
            </w:tcBorders>
            <w:shd w:val="clear" w:color="auto" w:fill="auto"/>
            <w:noWrap/>
            <w:vAlign w:val="center"/>
          </w:tcPr>
          <w:p w14:paraId="6FC079D3" w14:textId="288DFE75" w:rsidR="00BA557E" w:rsidRPr="00565D55" w:rsidRDefault="00BA557E" w:rsidP="00BA557E">
            <w:pPr>
              <w:pStyle w:val="Sinespaciado"/>
              <w:jc w:val="right"/>
              <w:rPr>
                <w:rFonts w:eastAsia="Times New Roman" w:cs="Calibri"/>
                <w:color w:val="333D6B"/>
                <w:sz w:val="18"/>
                <w:szCs w:val="18"/>
                <w:lang w:eastAsia="es-CL"/>
              </w:rPr>
            </w:pPr>
            <w:r>
              <w:rPr>
                <w:rFonts w:cs="Arial"/>
                <w:b/>
                <w:bCs/>
                <w:color w:val="333D6B"/>
                <w:sz w:val="18"/>
                <w:szCs w:val="18"/>
              </w:rPr>
              <w:t>522.494.833</w:t>
            </w:r>
          </w:p>
        </w:tc>
        <w:tc>
          <w:tcPr>
            <w:tcW w:w="1191" w:type="dxa"/>
            <w:gridSpan w:val="2"/>
            <w:tcBorders>
              <w:top w:val="nil"/>
              <w:left w:val="nil"/>
              <w:bottom w:val="dotted" w:sz="4" w:space="0" w:color="E6344B"/>
              <w:right w:val="nil"/>
            </w:tcBorders>
            <w:shd w:val="clear" w:color="auto" w:fill="auto"/>
            <w:noWrap/>
            <w:vAlign w:val="center"/>
          </w:tcPr>
          <w:p w14:paraId="460E9893" w14:textId="6A67A93D" w:rsidR="00BA557E" w:rsidRPr="00565D55" w:rsidRDefault="00BA557E" w:rsidP="00BA557E">
            <w:pPr>
              <w:pStyle w:val="Sinespaciado"/>
              <w:jc w:val="right"/>
              <w:rPr>
                <w:rFonts w:eastAsia="Times New Roman" w:cs="Calibri"/>
                <w:color w:val="333D6B"/>
                <w:sz w:val="18"/>
                <w:szCs w:val="18"/>
                <w:lang w:eastAsia="es-CL"/>
              </w:rPr>
            </w:pPr>
            <w:r>
              <w:rPr>
                <w:rFonts w:cs="Arial"/>
                <w:b/>
                <w:bCs/>
                <w:color w:val="333D6B"/>
                <w:sz w:val="18"/>
                <w:szCs w:val="18"/>
              </w:rPr>
              <w:t>503.685.182</w:t>
            </w:r>
          </w:p>
        </w:tc>
        <w:tc>
          <w:tcPr>
            <w:tcW w:w="1191" w:type="dxa"/>
            <w:gridSpan w:val="2"/>
            <w:tcBorders>
              <w:top w:val="nil"/>
              <w:left w:val="nil"/>
              <w:bottom w:val="dotted" w:sz="4" w:space="0" w:color="E6344B"/>
              <w:right w:val="nil"/>
            </w:tcBorders>
            <w:shd w:val="clear" w:color="auto" w:fill="auto"/>
            <w:noWrap/>
            <w:vAlign w:val="center"/>
          </w:tcPr>
          <w:p w14:paraId="3900223C" w14:textId="25D48817" w:rsidR="00BA557E" w:rsidRPr="00565D55" w:rsidRDefault="00BA557E" w:rsidP="00BA557E">
            <w:pPr>
              <w:pStyle w:val="Sinespaciado"/>
              <w:jc w:val="right"/>
              <w:rPr>
                <w:rFonts w:eastAsia="Times New Roman" w:cs="Calibri"/>
                <w:color w:val="333D6B"/>
                <w:sz w:val="18"/>
                <w:szCs w:val="18"/>
                <w:lang w:eastAsia="es-CL"/>
              </w:rPr>
            </w:pPr>
            <w:r>
              <w:rPr>
                <w:rFonts w:cs="Arial"/>
                <w:b/>
                <w:bCs/>
                <w:color w:val="333D6B"/>
                <w:sz w:val="18"/>
                <w:szCs w:val="18"/>
              </w:rPr>
              <w:t>529.615.105</w:t>
            </w:r>
          </w:p>
        </w:tc>
        <w:tc>
          <w:tcPr>
            <w:tcW w:w="1191" w:type="dxa"/>
            <w:gridSpan w:val="2"/>
            <w:tcBorders>
              <w:top w:val="nil"/>
              <w:left w:val="nil"/>
              <w:bottom w:val="dotted" w:sz="4" w:space="0" w:color="E6344B"/>
              <w:right w:val="nil"/>
            </w:tcBorders>
            <w:shd w:val="clear" w:color="auto" w:fill="auto"/>
            <w:noWrap/>
            <w:vAlign w:val="center"/>
          </w:tcPr>
          <w:p w14:paraId="552E21AD" w14:textId="6575A8A7" w:rsidR="00BA557E" w:rsidRPr="00565D55" w:rsidRDefault="00BA557E" w:rsidP="00BA557E">
            <w:pPr>
              <w:pStyle w:val="Sinespaciado"/>
              <w:jc w:val="right"/>
              <w:rPr>
                <w:rFonts w:eastAsia="Times New Roman" w:cs="Calibri"/>
                <w:color w:val="333D6B"/>
                <w:sz w:val="18"/>
                <w:szCs w:val="18"/>
                <w:lang w:eastAsia="es-CL"/>
              </w:rPr>
            </w:pPr>
            <w:r>
              <w:rPr>
                <w:rFonts w:cs="Arial"/>
                <w:b/>
                <w:bCs/>
                <w:color w:val="333D6B"/>
                <w:sz w:val="18"/>
                <w:szCs w:val="18"/>
              </w:rPr>
              <w:t>525.612.268</w:t>
            </w:r>
          </w:p>
        </w:tc>
      </w:tr>
      <w:tr w:rsidR="00BA557E" w:rsidRPr="00565D55" w14:paraId="24AA2149" w14:textId="77777777" w:rsidTr="003F0D2C">
        <w:trPr>
          <w:gridAfter w:val="1"/>
          <w:wAfter w:w="269" w:type="dxa"/>
          <w:trHeight w:val="300"/>
        </w:trPr>
        <w:tc>
          <w:tcPr>
            <w:tcW w:w="2331" w:type="dxa"/>
            <w:tcBorders>
              <w:top w:val="nil"/>
              <w:left w:val="nil"/>
              <w:bottom w:val="dotted" w:sz="4" w:space="0" w:color="E6344B"/>
              <w:right w:val="nil"/>
            </w:tcBorders>
            <w:shd w:val="clear" w:color="000000" w:fill="BB1823"/>
            <w:noWrap/>
            <w:vAlign w:val="center"/>
          </w:tcPr>
          <w:p w14:paraId="7A242E3F" w14:textId="2C07DBCE" w:rsidR="00BA557E" w:rsidRPr="00565D55" w:rsidRDefault="00BA557E" w:rsidP="00BA557E">
            <w:pPr>
              <w:pStyle w:val="Sinespaciado"/>
              <w:rPr>
                <w:rFonts w:eastAsia="Times New Roman" w:cs="Calibri"/>
                <w:color w:val="FFFFFF"/>
                <w:sz w:val="18"/>
                <w:szCs w:val="18"/>
                <w:lang w:eastAsia="es-CL"/>
              </w:rPr>
            </w:pPr>
            <w:r>
              <w:rPr>
                <w:rFonts w:eastAsia="Times New Roman" w:cs="Calibri"/>
                <w:b/>
                <w:bCs/>
                <w:color w:val="FFFFFF"/>
                <w:sz w:val="18"/>
                <w:szCs w:val="18"/>
                <w:lang w:eastAsia="es-CL"/>
              </w:rPr>
              <w:t>Deuda financiera</w:t>
            </w:r>
            <w:r w:rsidR="00AB5C58">
              <w:rPr>
                <w:rStyle w:val="Refdenotaalpie"/>
                <w:rFonts w:eastAsia="Times New Roman" w:cs="Calibri"/>
                <w:b/>
                <w:bCs/>
                <w:color w:val="FFFFFF"/>
                <w:sz w:val="18"/>
                <w:szCs w:val="18"/>
                <w:lang w:eastAsia="es-CL"/>
              </w:rPr>
              <w:footnoteReference w:id="5"/>
            </w:r>
          </w:p>
        </w:tc>
        <w:tc>
          <w:tcPr>
            <w:tcW w:w="1191" w:type="dxa"/>
            <w:gridSpan w:val="2"/>
            <w:tcBorders>
              <w:top w:val="nil"/>
              <w:left w:val="nil"/>
              <w:bottom w:val="dotted" w:sz="4" w:space="0" w:color="E6344B"/>
              <w:right w:val="nil"/>
            </w:tcBorders>
            <w:shd w:val="clear" w:color="auto" w:fill="auto"/>
            <w:noWrap/>
            <w:vAlign w:val="center"/>
          </w:tcPr>
          <w:p w14:paraId="590F1CE6" w14:textId="6DD407C0" w:rsidR="00BA557E" w:rsidRPr="00565D55" w:rsidRDefault="00BA557E" w:rsidP="00BA557E">
            <w:pPr>
              <w:pStyle w:val="Sinespaciado"/>
              <w:jc w:val="right"/>
              <w:rPr>
                <w:rFonts w:eastAsia="Times New Roman" w:cs="Calibri"/>
                <w:color w:val="333D6B"/>
                <w:sz w:val="18"/>
                <w:szCs w:val="18"/>
                <w:lang w:eastAsia="es-CL"/>
              </w:rPr>
            </w:pPr>
            <w:r>
              <w:rPr>
                <w:rFonts w:cs="Arial"/>
                <w:color w:val="333D6B"/>
                <w:sz w:val="18"/>
                <w:szCs w:val="18"/>
              </w:rPr>
              <w:t>383.315.609</w:t>
            </w:r>
          </w:p>
        </w:tc>
        <w:tc>
          <w:tcPr>
            <w:tcW w:w="1191" w:type="dxa"/>
            <w:gridSpan w:val="2"/>
            <w:tcBorders>
              <w:top w:val="nil"/>
              <w:left w:val="nil"/>
              <w:bottom w:val="dotted" w:sz="4" w:space="0" w:color="E6344B"/>
              <w:right w:val="nil"/>
            </w:tcBorders>
            <w:shd w:val="clear" w:color="auto" w:fill="auto"/>
            <w:noWrap/>
            <w:vAlign w:val="center"/>
          </w:tcPr>
          <w:p w14:paraId="33D480B1" w14:textId="7A3A3EF7" w:rsidR="00BA557E" w:rsidRPr="00565D55" w:rsidRDefault="00BA557E" w:rsidP="00BA557E">
            <w:pPr>
              <w:pStyle w:val="Sinespaciado"/>
              <w:jc w:val="right"/>
              <w:rPr>
                <w:rFonts w:eastAsia="Times New Roman" w:cs="Calibri"/>
                <w:color w:val="333D6B"/>
                <w:sz w:val="18"/>
                <w:szCs w:val="18"/>
                <w:lang w:eastAsia="es-CL"/>
              </w:rPr>
            </w:pPr>
            <w:r>
              <w:rPr>
                <w:rFonts w:cs="Arial"/>
                <w:color w:val="333D6B"/>
                <w:sz w:val="18"/>
                <w:szCs w:val="18"/>
              </w:rPr>
              <w:t>376.141.889</w:t>
            </w:r>
          </w:p>
        </w:tc>
        <w:tc>
          <w:tcPr>
            <w:tcW w:w="1191" w:type="dxa"/>
            <w:tcBorders>
              <w:top w:val="nil"/>
              <w:left w:val="nil"/>
              <w:bottom w:val="dotted" w:sz="4" w:space="0" w:color="E6344B"/>
              <w:right w:val="nil"/>
            </w:tcBorders>
            <w:shd w:val="clear" w:color="auto" w:fill="auto"/>
            <w:noWrap/>
            <w:vAlign w:val="center"/>
          </w:tcPr>
          <w:p w14:paraId="7A59D7AB" w14:textId="278E916D" w:rsidR="00BA557E" w:rsidRPr="00565D55" w:rsidRDefault="00BA557E" w:rsidP="00BA557E">
            <w:pPr>
              <w:pStyle w:val="Sinespaciado"/>
              <w:jc w:val="right"/>
              <w:rPr>
                <w:rFonts w:eastAsia="Times New Roman" w:cs="Calibri"/>
                <w:color w:val="333D6B"/>
                <w:sz w:val="18"/>
                <w:szCs w:val="18"/>
                <w:lang w:eastAsia="es-CL"/>
              </w:rPr>
            </w:pPr>
            <w:r>
              <w:rPr>
                <w:rFonts w:cs="Arial"/>
                <w:color w:val="333D6B"/>
                <w:sz w:val="18"/>
                <w:szCs w:val="18"/>
              </w:rPr>
              <w:t>367.723.976</w:t>
            </w:r>
          </w:p>
        </w:tc>
        <w:tc>
          <w:tcPr>
            <w:tcW w:w="1191" w:type="dxa"/>
            <w:gridSpan w:val="2"/>
            <w:tcBorders>
              <w:top w:val="nil"/>
              <w:left w:val="nil"/>
              <w:bottom w:val="dotted" w:sz="4" w:space="0" w:color="E6344B"/>
              <w:right w:val="nil"/>
            </w:tcBorders>
            <w:shd w:val="clear" w:color="auto" w:fill="auto"/>
            <w:noWrap/>
            <w:vAlign w:val="center"/>
          </w:tcPr>
          <w:p w14:paraId="63B3C55D" w14:textId="236DDAA4" w:rsidR="00BA557E" w:rsidRPr="00565D55" w:rsidRDefault="00BA557E" w:rsidP="00BA557E">
            <w:pPr>
              <w:pStyle w:val="Sinespaciado"/>
              <w:jc w:val="right"/>
              <w:rPr>
                <w:rFonts w:eastAsia="Times New Roman" w:cs="Calibri"/>
                <w:color w:val="333D6B"/>
                <w:sz w:val="18"/>
                <w:szCs w:val="18"/>
                <w:lang w:eastAsia="es-CL"/>
              </w:rPr>
            </w:pPr>
            <w:r>
              <w:rPr>
                <w:rFonts w:cs="Arial"/>
                <w:color w:val="333D6B"/>
                <w:sz w:val="18"/>
                <w:szCs w:val="18"/>
              </w:rPr>
              <w:t>356.308.447</w:t>
            </w:r>
          </w:p>
        </w:tc>
        <w:tc>
          <w:tcPr>
            <w:tcW w:w="1191" w:type="dxa"/>
            <w:gridSpan w:val="2"/>
            <w:tcBorders>
              <w:top w:val="nil"/>
              <w:left w:val="nil"/>
              <w:bottom w:val="dotted" w:sz="4" w:space="0" w:color="E6344B"/>
              <w:right w:val="nil"/>
            </w:tcBorders>
            <w:shd w:val="clear" w:color="auto" w:fill="auto"/>
            <w:noWrap/>
            <w:vAlign w:val="center"/>
          </w:tcPr>
          <w:p w14:paraId="02A75F93" w14:textId="7E845591" w:rsidR="00BA557E" w:rsidRPr="003824B1" w:rsidRDefault="003824B1" w:rsidP="00BA557E">
            <w:pPr>
              <w:pStyle w:val="Sinespaciado"/>
              <w:jc w:val="right"/>
              <w:rPr>
                <w:rFonts w:eastAsia="Times New Roman" w:cs="Calibri"/>
                <w:color w:val="333D6B"/>
                <w:sz w:val="18"/>
                <w:szCs w:val="20"/>
                <w:lang w:eastAsia="es-CL"/>
              </w:rPr>
            </w:pPr>
            <w:r w:rsidRPr="003824B1">
              <w:rPr>
                <w:sz w:val="18"/>
                <w:szCs w:val="20"/>
              </w:rPr>
              <w:t>330.387.725</w:t>
            </w:r>
          </w:p>
        </w:tc>
        <w:tc>
          <w:tcPr>
            <w:tcW w:w="1191" w:type="dxa"/>
            <w:gridSpan w:val="2"/>
            <w:tcBorders>
              <w:top w:val="nil"/>
              <w:left w:val="nil"/>
              <w:bottom w:val="dotted" w:sz="4" w:space="0" w:color="E6344B"/>
              <w:right w:val="nil"/>
            </w:tcBorders>
            <w:shd w:val="clear" w:color="auto" w:fill="auto"/>
            <w:noWrap/>
            <w:vAlign w:val="center"/>
          </w:tcPr>
          <w:p w14:paraId="6A0A3542" w14:textId="1218782D" w:rsidR="00BA557E" w:rsidRPr="003824B1" w:rsidRDefault="003824B1" w:rsidP="00BA557E">
            <w:pPr>
              <w:pStyle w:val="Sinespaciado"/>
              <w:jc w:val="right"/>
              <w:rPr>
                <w:rFonts w:eastAsia="Times New Roman" w:cs="Calibri"/>
                <w:color w:val="333D6B"/>
                <w:sz w:val="18"/>
                <w:szCs w:val="20"/>
                <w:lang w:eastAsia="es-CL"/>
              </w:rPr>
            </w:pPr>
            <w:r w:rsidRPr="003824B1">
              <w:rPr>
                <w:sz w:val="18"/>
                <w:szCs w:val="20"/>
              </w:rPr>
              <w:t>327.910.941</w:t>
            </w:r>
          </w:p>
        </w:tc>
      </w:tr>
    </w:tbl>
    <w:p w14:paraId="0A24CCCB" w14:textId="3814616A" w:rsidR="00F305AA" w:rsidRDefault="00F305AA" w:rsidP="00E10DEB">
      <w:pPr>
        <w:pStyle w:val="Ttulo1"/>
      </w:pPr>
      <w:r>
        <w:lastRenderedPageBreak/>
        <w:t xml:space="preserve">Opinión </w:t>
      </w:r>
    </w:p>
    <w:p w14:paraId="40D12D10" w14:textId="77777777" w:rsidR="00F305AA" w:rsidRDefault="00F305AA" w:rsidP="00F305AA">
      <w:pPr>
        <w:pStyle w:val="Ttulo"/>
        <w:jc w:val="both"/>
      </w:pPr>
      <w:r>
        <w:t>Fundamentos de la clasificación</w:t>
      </w:r>
    </w:p>
    <w:p w14:paraId="0505C316" w14:textId="7F20F515" w:rsidR="00E676DE" w:rsidRPr="00FF7D61" w:rsidRDefault="00E676DE" w:rsidP="00E676DE">
      <w:pPr>
        <w:spacing w:after="120"/>
        <w:jc w:val="both"/>
      </w:pPr>
      <w:r w:rsidRPr="00FF7D61">
        <w:rPr>
          <w:b/>
          <w:bCs/>
        </w:rPr>
        <w:t>Caja de Compensación de Asignación Familiar La Araucana</w:t>
      </w:r>
      <w:r w:rsidRPr="00FF7D61">
        <w:t xml:space="preserve"> (</w:t>
      </w:r>
      <w:r w:rsidRPr="00FF7D61">
        <w:rPr>
          <w:b/>
          <w:bCs/>
        </w:rPr>
        <w:t>CCAF Los Araucana</w:t>
      </w:r>
      <w:r w:rsidRPr="00FF7D61">
        <w:t xml:space="preserve">), en términos de </w:t>
      </w:r>
      <w:r w:rsidR="00F91771" w:rsidRPr="00FF7D61">
        <w:t xml:space="preserve">número de afiliados, </w:t>
      </w:r>
      <w:r w:rsidRPr="00FF7D61">
        <w:t>es la segunda caja de compensación de asignación familiar de las cuatro que operan el país. Las cajas de compensación son fiscalizadas por la Superintendencia de Seguridad Social (SUSESO)</w:t>
      </w:r>
      <w:r w:rsidR="00625B9F" w:rsidRPr="00FF7D61">
        <w:rPr>
          <w:rStyle w:val="Refdenotaalpie"/>
        </w:rPr>
        <w:footnoteReference w:id="6"/>
      </w:r>
      <w:r w:rsidRPr="00FF7D61">
        <w:t xml:space="preserve"> y la Ley las define como corporaciones de derecho privado, sin fines de lucro, cuyo objetivo es la administración de prestaciones de seguridad social, pudiendo efectuar todo tipo de actividades que impliquen un beneficio social para sus afiliados.</w:t>
      </w:r>
    </w:p>
    <w:p w14:paraId="4919D771" w14:textId="0786F207" w:rsidR="00E676DE" w:rsidRPr="00324474" w:rsidRDefault="00E676DE" w:rsidP="00E676DE">
      <w:pPr>
        <w:spacing w:after="120"/>
        <w:jc w:val="both"/>
      </w:pPr>
      <w:r w:rsidRPr="00FF7D61">
        <w:t xml:space="preserve">Los </w:t>
      </w:r>
      <w:r w:rsidRPr="00324474">
        <w:t>servicios prestados por la institución están dirigidos, exclusivamente, a sus afiliados. La calidad de afiliado, para trabajadores activos, se adquiere mediante la incorporación del empleador como miembro de la CCAF, con acuerdo mayoritario de sus trabajadores. En el caso de los pensionados, la adhesión es individual. A la fecha, la corporación cuenta con diferentes líneas de negocios dentro de las que se destacan los créditos sociales, que representaron alrededor del 76,2% de sus ingresos operacionales durante el primer trimestre de 2021</w:t>
      </w:r>
      <w:r w:rsidR="00F804CE" w:rsidRPr="00324474">
        <w:rPr>
          <w:rStyle w:val="Refdenotaalpie"/>
        </w:rPr>
        <w:footnoteReference w:id="7"/>
      </w:r>
      <w:r w:rsidRPr="00324474">
        <w:t xml:space="preserve">. </w:t>
      </w:r>
    </w:p>
    <w:p w14:paraId="15517194" w14:textId="1DAAE11C" w:rsidR="00C865B7" w:rsidRPr="00324474" w:rsidRDefault="00610EC6" w:rsidP="00324474">
      <w:pPr>
        <w:pStyle w:val="texto1pagina"/>
        <w:rPr>
          <w:color w:val="2E3B5D"/>
        </w:rPr>
      </w:pPr>
      <w:r w:rsidRPr="00324474">
        <w:rPr>
          <w:color w:val="2E3B5D"/>
        </w:rPr>
        <w:t xml:space="preserve">A marzo de 2022, los activos de </w:t>
      </w:r>
      <w:r w:rsidRPr="00324474">
        <w:rPr>
          <w:b/>
          <w:bCs/>
          <w:color w:val="2E3B5D"/>
        </w:rPr>
        <w:t>CCAF La Araucana</w:t>
      </w:r>
      <w:r w:rsidRPr="00324474">
        <w:rPr>
          <w:color w:val="2E3B5D"/>
        </w:rPr>
        <w:t xml:space="preserve"> ascendieron a $ 525.612 millones y sus colocaciones totales a $ 280.486 millones</w:t>
      </w:r>
      <w:r w:rsidRPr="00324474">
        <w:rPr>
          <w:rStyle w:val="Refdenotaalpie"/>
          <w:bCs/>
          <w:color w:val="2E3B5D"/>
        </w:rPr>
        <w:footnoteReference w:id="8"/>
      </w:r>
      <w:r w:rsidRPr="00324474">
        <w:rPr>
          <w:color w:val="2E3B5D"/>
        </w:rPr>
        <w:t>, teniendo un pasivo total de $ 354.299 millones, un pasivo financiero de $ 327.911 millones y un patrimonio equivalente a $ 171.313 millones.</w:t>
      </w:r>
    </w:p>
    <w:p w14:paraId="185E9A9F" w14:textId="46A1B218" w:rsidR="00C865B7" w:rsidRPr="00324474" w:rsidRDefault="00C865B7" w:rsidP="00324474">
      <w:pPr>
        <w:pStyle w:val="texto1pagina"/>
        <w:rPr>
          <w:color w:val="2E3B5D"/>
        </w:rPr>
      </w:pPr>
      <w:r w:rsidRPr="00324474">
        <w:rPr>
          <w:color w:val="2E3B5D"/>
        </w:rPr>
        <w:t>El cambio de clasificación</w:t>
      </w:r>
      <w:r w:rsidR="00071737" w:rsidRPr="00324474">
        <w:rPr>
          <w:color w:val="2E3B5D"/>
        </w:rPr>
        <w:t xml:space="preserve"> asignada a los bonos emitidos por la institución, desde “</w:t>
      </w:r>
      <w:r w:rsidR="00071737" w:rsidRPr="00324474">
        <w:rPr>
          <w:i/>
          <w:iCs/>
          <w:color w:val="2E3B5D"/>
        </w:rPr>
        <w:t>Categoría BBB</w:t>
      </w:r>
      <w:proofErr w:type="gramStart"/>
      <w:r w:rsidR="00071737" w:rsidRPr="00324474">
        <w:rPr>
          <w:i/>
          <w:iCs/>
          <w:color w:val="2E3B5D"/>
        </w:rPr>
        <w:t>-</w:t>
      </w:r>
      <w:r w:rsidR="00071737" w:rsidRPr="00324474">
        <w:rPr>
          <w:color w:val="2E3B5D"/>
        </w:rPr>
        <w:t>“ a</w:t>
      </w:r>
      <w:proofErr w:type="gramEnd"/>
      <w:r w:rsidR="00071737" w:rsidRPr="00324474">
        <w:rPr>
          <w:color w:val="2E3B5D"/>
        </w:rPr>
        <w:t xml:space="preserve"> “</w:t>
      </w:r>
      <w:r w:rsidR="00071737" w:rsidRPr="00324474">
        <w:rPr>
          <w:i/>
          <w:iCs/>
          <w:color w:val="2E3B5D"/>
        </w:rPr>
        <w:t>Categoría BBB</w:t>
      </w:r>
      <w:r w:rsidR="00071737" w:rsidRPr="00324474">
        <w:rPr>
          <w:color w:val="2E3B5D"/>
        </w:rPr>
        <w:t>”,</w:t>
      </w:r>
      <w:r w:rsidRPr="00324474">
        <w:rPr>
          <w:color w:val="2E3B5D"/>
        </w:rPr>
        <w:t xml:space="preserve"> responde, principalmente, a que se ha mantenido el bajo endeudamiento observado al momento de calificar la tendencia de clasificación de “</w:t>
      </w:r>
      <w:r w:rsidRPr="00324474">
        <w:rPr>
          <w:i/>
          <w:iCs/>
          <w:color w:val="2E3B5D"/>
        </w:rPr>
        <w:t>Favorable</w:t>
      </w:r>
      <w:r w:rsidRPr="00324474">
        <w:rPr>
          <w:color w:val="2E3B5D"/>
        </w:rPr>
        <w:t xml:space="preserve">”, medido como pasivo exigible sobre patrimonio, alcanzando, a marzo de 2022, las 2,07 veces. Lo anterior, acompañado de una recuperación de su cartera de colocaciones, </w:t>
      </w:r>
      <w:proofErr w:type="gramStart"/>
      <w:r w:rsidRPr="00324474">
        <w:rPr>
          <w:color w:val="2E3B5D"/>
        </w:rPr>
        <w:t>que</w:t>
      </w:r>
      <w:proofErr w:type="gramEnd"/>
      <w:r w:rsidR="000A28F8" w:rsidRPr="00324474">
        <w:rPr>
          <w:color w:val="2E3B5D"/>
        </w:rPr>
        <w:t xml:space="preserve"> aunque moderada</w:t>
      </w:r>
      <w:r w:rsidRPr="00324474">
        <w:rPr>
          <w:color w:val="2E3B5D"/>
        </w:rPr>
        <w:t>,</w:t>
      </w:r>
      <w:r w:rsidR="002D3613" w:rsidRPr="00324474">
        <w:rPr>
          <w:color w:val="2E3B5D"/>
        </w:rPr>
        <w:t xml:space="preserve"> </w:t>
      </w:r>
      <w:r w:rsidR="002A0A90" w:rsidRPr="00324474">
        <w:rPr>
          <w:color w:val="2E3B5D"/>
        </w:rPr>
        <w:t>con perspectiva de continuar creciendo</w:t>
      </w:r>
      <w:r w:rsidRPr="00324474">
        <w:rPr>
          <w:color w:val="2E3B5D"/>
        </w:rPr>
        <w:t>.</w:t>
      </w:r>
      <w:r w:rsidR="00150350" w:rsidRPr="00324474">
        <w:rPr>
          <w:color w:val="2E3B5D"/>
        </w:rPr>
        <w:t xml:space="preserve"> Por otra parte, de mantenerse el crecimiento sin efectos negativos en </w:t>
      </w:r>
      <w:r w:rsidR="000E2889" w:rsidRPr="00324474">
        <w:rPr>
          <w:color w:val="2E3B5D"/>
        </w:rPr>
        <w:t>los niveles de morosidad, se revisaría al alza la clasificación de corto plazo.</w:t>
      </w:r>
    </w:p>
    <w:p w14:paraId="57BDDFFC" w14:textId="39D4A43A" w:rsidR="00E12280" w:rsidRPr="00324474" w:rsidRDefault="00E12280" w:rsidP="00E676DE">
      <w:pPr>
        <w:spacing w:after="120"/>
        <w:jc w:val="both"/>
      </w:pPr>
      <w:r w:rsidRPr="00324474">
        <w:t>La clasificación de los títulos de deuda en “</w:t>
      </w:r>
      <w:r w:rsidRPr="00324474">
        <w:rPr>
          <w:i/>
          <w:iCs/>
        </w:rPr>
        <w:t>Categoría BBB/Nivel</w:t>
      </w:r>
      <w:r w:rsidR="00C312F7">
        <w:rPr>
          <w:i/>
          <w:iCs/>
        </w:rPr>
        <w:t xml:space="preserve"> </w:t>
      </w:r>
      <w:r w:rsidRPr="00324474">
        <w:rPr>
          <w:i/>
          <w:iCs/>
        </w:rPr>
        <w:t>3</w:t>
      </w:r>
      <w:r w:rsidRPr="00324474">
        <w:t xml:space="preserve">” reconoce como positivo que la cartera de créditos de </w:t>
      </w:r>
      <w:r w:rsidRPr="00324474">
        <w:rPr>
          <w:b/>
          <w:bCs/>
        </w:rPr>
        <w:t>CCAF La Araucana</w:t>
      </w:r>
      <w:r w:rsidRPr="00324474">
        <w:t xml:space="preserve"> presenta un nivel de colocaciones elevado (para que opere un comportamiento estadísticamente normal) y rentable, con una cartera atomizada que reduce la exposición de su patrimonio a incumplimientos individuales o de un reducido número de créditos. Lo anterior se suma a un marco legal que fortalece la posición del emisor en su carácter de acreedor y, producto del mismo marco, a la existencia de un sistema de recaudación de bajo costo comparativo (descuentos por planillas con carácter equivalente a la deducción previsional).</w:t>
      </w:r>
    </w:p>
    <w:p w14:paraId="71EE4E5C" w14:textId="096BD5DC" w:rsidR="00E12280" w:rsidRPr="00324474" w:rsidRDefault="00221985" w:rsidP="00E676DE">
      <w:pPr>
        <w:spacing w:after="120"/>
        <w:jc w:val="both"/>
      </w:pPr>
      <w:r w:rsidRPr="00324474">
        <w:t xml:space="preserve">Adicionalmente, el proceso de clasificación reconoce como positivo el posicionamiento de la firma, al ubicarse en segundo lugar en el mercado de las cajas de compensación en número de afiliados, elemento </w:t>
      </w:r>
      <w:r w:rsidRPr="00324474">
        <w:lastRenderedPageBreak/>
        <w:t>que, bien administrado, podría facilitar la obtención de economías de escala y el acceso al segmento objetivo para la oferta de créditos.</w:t>
      </w:r>
    </w:p>
    <w:p w14:paraId="3C2B15CE" w14:textId="77777777" w:rsidR="001F11BB" w:rsidRPr="00324474" w:rsidRDefault="001F11BB" w:rsidP="00324474">
      <w:pPr>
        <w:pStyle w:val="texto1pagina"/>
        <w:rPr>
          <w:color w:val="2E3B5D"/>
        </w:rPr>
      </w:pPr>
      <w:r w:rsidRPr="00324474">
        <w:rPr>
          <w:color w:val="2E3B5D"/>
        </w:rPr>
        <w:t xml:space="preserve">En los hechos, la clasificación de riesgo incorpora como elemento favorable que el negocio crediticio, en términos de </w:t>
      </w:r>
      <w:r w:rsidRPr="00324474">
        <w:rPr>
          <w:i/>
          <w:iCs/>
          <w:color w:val="2E3B5D"/>
        </w:rPr>
        <w:t>spread</w:t>
      </w:r>
      <w:r w:rsidRPr="00324474">
        <w:rPr>
          <w:color w:val="2E3B5D"/>
        </w:rPr>
        <w:t>, tiene un retorno adecuado en relación con el riesgo asumido y que existe un importante nivel de ingresos provenientes de operaciones de bajo riesgo (por la administración de prestaciones sociales de cargo del Estado, pago de pensiones, recaudación de seguros y servicios y cotización de 1% de pensionados, entre otros).</w:t>
      </w:r>
    </w:p>
    <w:p w14:paraId="4D825D3E" w14:textId="549660A6" w:rsidR="00B96483" w:rsidRPr="00324474" w:rsidRDefault="00B96483" w:rsidP="00324474">
      <w:pPr>
        <w:pStyle w:val="texto1pagina"/>
        <w:rPr>
          <w:color w:val="2E3B5D"/>
        </w:rPr>
      </w:pPr>
      <w:r w:rsidRPr="00324474">
        <w:rPr>
          <w:color w:val="2E3B5D"/>
        </w:rPr>
        <w:t xml:space="preserve">En términos generales, la clasificación de los bonos se ve limitada como consecuencia dado que el fortalecimiento patrimonial está restringido a la generación de utilidades, por lo que la empresa no cuenta con capacidad de obtener apoyo a través de aumentos de capital (riesgo atenuado por cuanto actualmente la entidad presenta una adecuada posición patrimonial). Dado ello, la evaluación del nivel de endeudamiento de la sociedad no es directamente comparable con entidades financieras dependientes de grupos controladores susceptibles de llevar a cabo aportes de capital. </w:t>
      </w:r>
    </w:p>
    <w:p w14:paraId="1D3FEF9D" w14:textId="45687CD4" w:rsidR="00B96483" w:rsidRPr="00324474" w:rsidRDefault="00B96483" w:rsidP="00324474">
      <w:pPr>
        <w:pStyle w:val="texto1pagina"/>
        <w:rPr>
          <w:color w:val="2E3B5D"/>
        </w:rPr>
      </w:pPr>
      <w:r w:rsidRPr="00324474">
        <w:rPr>
          <w:color w:val="2E3B5D"/>
        </w:rPr>
        <w:t>La clasificación también considera como limitante la existencia de un endeudamiento relativo que se encuentra en niveles superiores al mercado de las cajas, no obstante, se valora el hecho de que el indicador ha mostrado mejoras considerables, pasando desde 5,61 veces en diciembre de 2016 a 2,07 veces en marzo de este año. Asimismo, los resultados negativos y falta de liquidez que presentó la institución en el pasado, lo cual llevó a la intervención de la entidad y a la necesidad de suscribir un acuerdo judicial con sus acreedores, impide un acceso normal a las distintas fuentes de financiamiento. Para el negocio crediticio es vital disponer de un acceso expedito al sistema financiero y al mercado de valores.</w:t>
      </w:r>
    </w:p>
    <w:p w14:paraId="38D81694" w14:textId="77777777" w:rsidR="00B96483" w:rsidRPr="00324474" w:rsidRDefault="00B96483" w:rsidP="00324474">
      <w:pPr>
        <w:pStyle w:val="texto1pagina"/>
        <w:rPr>
          <w:color w:val="2E3B5D"/>
        </w:rPr>
      </w:pPr>
      <w:r w:rsidRPr="00324474">
        <w:rPr>
          <w:color w:val="2E3B5D"/>
        </w:rPr>
        <w:t xml:space="preserve">Desde otra perspectiva, la clasificación de los títulos de deuda se ve restringida, dado que la operación relevante de la compañía se orienta en atender un mercado que tiende a estar compuesto por sectores más riesgosos dentro de la población. </w:t>
      </w:r>
    </w:p>
    <w:p w14:paraId="54E6FC9D" w14:textId="77777777" w:rsidR="00B96483" w:rsidRPr="00324474" w:rsidRDefault="00B96483" w:rsidP="00324474">
      <w:pPr>
        <w:pStyle w:val="texto1pagina"/>
        <w:rPr>
          <w:color w:val="2E3B5D"/>
        </w:rPr>
      </w:pPr>
      <w:r w:rsidRPr="00324474">
        <w:rPr>
          <w:color w:val="2E3B5D"/>
        </w:rPr>
        <w:t xml:space="preserve">De forma complementaria, no son ajenos a la evaluación aquellos elementos que repercuten en la competitividad de la firma, tales como potenciales cambios en el entorno competitivo, cambios en el marco legal de las cajas, o situaciones de deterioro de liquidez del mercado que limiten la renovación de los préstamos por parte de los bancos. En la misma línea, se ha tenido en consideración que la entidad, en relación con la percepción del mercado, no es inmune a las contingencias que pudieren afectar a otras instituciones del sector (“riesgo contagio”); no obstante, cualquier eventual impacto se reduce significativamente en el mediano plazo producto de la adecuada solvencia financiera del emisor. </w:t>
      </w:r>
    </w:p>
    <w:p w14:paraId="2E456236" w14:textId="77777777" w:rsidR="00482C6C" w:rsidRPr="00B55732" w:rsidRDefault="00482C6C" w:rsidP="00482C6C">
      <w:pPr>
        <w:spacing w:after="120"/>
        <w:jc w:val="both"/>
      </w:pPr>
      <w:r w:rsidRPr="00B55732">
        <w:t xml:space="preserve">En el ámbito de ASG, </w:t>
      </w:r>
      <w:r w:rsidRPr="00B55732">
        <w:rPr>
          <w:b/>
          <w:bCs/>
        </w:rPr>
        <w:t>CCAF La Araucana</w:t>
      </w:r>
      <w:r w:rsidRPr="00B55732">
        <w:t xml:space="preserve"> se encuentra actualmente implementando nuevas estrategias corporativas, que son guiadas por los Objetivos de Desarrollo Sostenible (ODS), los que permiten sistematizar el impacto social y medioambiental de su accionar. Lo anterior, tiene como enfoque principal mejorar el bienestar social de sus afiliados. </w:t>
      </w:r>
    </w:p>
    <w:p w14:paraId="3C75EC80" w14:textId="77777777" w:rsidR="00B96483" w:rsidRPr="00324474" w:rsidRDefault="00B96483" w:rsidP="00324474">
      <w:pPr>
        <w:pStyle w:val="texto1pagina"/>
        <w:rPr>
          <w:color w:val="2E3B5D"/>
        </w:rPr>
      </w:pPr>
      <w:r w:rsidRPr="00324474">
        <w:rPr>
          <w:color w:val="2E3B5D"/>
        </w:rPr>
        <w:t>La tendencia de la clasificación se califica “</w:t>
      </w:r>
      <w:r w:rsidRPr="00324474">
        <w:rPr>
          <w:i/>
          <w:iCs/>
          <w:color w:val="2E3B5D"/>
        </w:rPr>
        <w:t>Estable</w:t>
      </w:r>
      <w:r w:rsidRPr="00324474">
        <w:rPr>
          <w:color w:val="2E3B5D"/>
        </w:rPr>
        <w:t>” por cuanto no se visualizan situaciones que pudieran provocar cambios de relevancia en el corto plazo.</w:t>
      </w:r>
    </w:p>
    <w:p w14:paraId="12FEBFB2" w14:textId="7CA4F005" w:rsidR="00B96483" w:rsidRPr="00324474" w:rsidRDefault="00B96483" w:rsidP="00324474">
      <w:pPr>
        <w:pStyle w:val="texto1pagina"/>
        <w:rPr>
          <w:color w:val="2E3B5D"/>
        </w:rPr>
      </w:pPr>
      <w:r w:rsidRPr="00324474">
        <w:rPr>
          <w:color w:val="2E3B5D"/>
        </w:rPr>
        <w:t xml:space="preserve">En el mediano plazo, la clasificación podría verse favorecida en la medida que la entidad logre normalizar su situación con las fuentes de financiamiento y facilitar la expansión de sus actividades, sin afectar </w:t>
      </w:r>
      <w:r w:rsidRPr="00324474">
        <w:rPr>
          <w:color w:val="2E3B5D"/>
        </w:rPr>
        <w:lastRenderedPageBreak/>
        <w:t xml:space="preserve">negativamente el riesgo de la institución o bien, mejore su situación actual con el acuerdo de reorganización judicial, que restringe su crecimiento, con </w:t>
      </w:r>
      <w:proofErr w:type="spellStart"/>
      <w:r w:rsidRPr="00324474">
        <w:rPr>
          <w:i/>
          <w:iCs/>
          <w:color w:val="2E3B5D"/>
        </w:rPr>
        <w:t>covenants</w:t>
      </w:r>
      <w:proofErr w:type="spellEnd"/>
      <w:r w:rsidRPr="00324474">
        <w:rPr>
          <w:color w:val="2E3B5D"/>
        </w:rPr>
        <w:t xml:space="preserve"> muy exigentes.</w:t>
      </w:r>
    </w:p>
    <w:tbl>
      <w:tblPr>
        <w:tblW w:w="9783" w:type="dxa"/>
        <w:jc w:val="center"/>
        <w:tblCellMar>
          <w:left w:w="70" w:type="dxa"/>
          <w:right w:w="70" w:type="dxa"/>
        </w:tblCellMar>
        <w:tblLook w:val="04A0" w:firstRow="1" w:lastRow="0" w:firstColumn="1" w:lastColumn="0" w:noHBand="0" w:noVBand="1"/>
      </w:tblPr>
      <w:tblGrid>
        <w:gridCol w:w="9783"/>
      </w:tblGrid>
      <w:tr w:rsidR="00CA1FE2" w:rsidRPr="001909B5" w14:paraId="2C131587" w14:textId="77777777" w:rsidTr="00C312F7">
        <w:trPr>
          <w:trHeight w:val="300"/>
          <w:jc w:val="center"/>
        </w:trPr>
        <w:tc>
          <w:tcPr>
            <w:tcW w:w="9783" w:type="dxa"/>
            <w:tcBorders>
              <w:top w:val="nil"/>
              <w:left w:val="nil"/>
              <w:bottom w:val="nil"/>
              <w:right w:val="nil"/>
            </w:tcBorders>
            <w:shd w:val="clear" w:color="000000" w:fill="BB1823"/>
            <w:noWrap/>
            <w:vAlign w:val="center"/>
            <w:hideMark/>
          </w:tcPr>
          <w:p w14:paraId="586B6BCA" w14:textId="77777777" w:rsidR="00CA1FE2" w:rsidRPr="001909B5" w:rsidRDefault="00CA1FE2" w:rsidP="00D83BC6">
            <w:pPr>
              <w:jc w:val="center"/>
              <w:rPr>
                <w:rFonts w:eastAsia="Times New Roman" w:cs="Arial"/>
                <w:b/>
                <w:bCs/>
                <w:color w:val="FFFFFF"/>
                <w:sz w:val="18"/>
                <w:szCs w:val="18"/>
                <w:lang w:eastAsia="es-CL"/>
              </w:rPr>
            </w:pPr>
            <w:r w:rsidRPr="001909B5">
              <w:rPr>
                <w:rFonts w:eastAsia="Times New Roman" w:cs="Arial"/>
                <w:b/>
                <w:bCs/>
                <w:color w:val="FFFFFF"/>
                <w:sz w:val="18"/>
                <w:szCs w:val="18"/>
                <w:lang w:eastAsia="es-CL"/>
              </w:rPr>
              <w:t xml:space="preserve">Resumen Fundamentos Clasificación </w:t>
            </w:r>
          </w:p>
        </w:tc>
      </w:tr>
      <w:tr w:rsidR="00CA1FE2" w:rsidRPr="001909B5" w14:paraId="377FE0A0" w14:textId="77777777" w:rsidTr="00C312F7">
        <w:trPr>
          <w:trHeight w:val="57"/>
          <w:jc w:val="center"/>
        </w:trPr>
        <w:tc>
          <w:tcPr>
            <w:tcW w:w="9783" w:type="dxa"/>
            <w:tcBorders>
              <w:top w:val="dotted" w:sz="4" w:space="0" w:color="E6344B"/>
              <w:left w:val="nil"/>
              <w:bottom w:val="nil"/>
              <w:right w:val="nil"/>
            </w:tcBorders>
            <w:shd w:val="clear" w:color="auto" w:fill="auto"/>
            <w:noWrap/>
            <w:vAlign w:val="center"/>
            <w:hideMark/>
          </w:tcPr>
          <w:p w14:paraId="732D9A28" w14:textId="77777777" w:rsidR="00CA1FE2" w:rsidRPr="001909B5" w:rsidRDefault="00CA1FE2" w:rsidP="00D83BC6">
            <w:pPr>
              <w:rPr>
                <w:rFonts w:eastAsia="Times New Roman" w:cs="Arial"/>
                <w:color w:val="333D6B"/>
                <w:sz w:val="18"/>
                <w:szCs w:val="18"/>
                <w:lang w:eastAsia="es-CL"/>
              </w:rPr>
            </w:pPr>
            <w:r w:rsidRPr="001909B5">
              <w:rPr>
                <w:rFonts w:eastAsia="Times New Roman" w:cs="Arial"/>
                <w:color w:val="333D6B"/>
                <w:sz w:val="18"/>
                <w:szCs w:val="18"/>
                <w:lang w:eastAsia="es-CL"/>
              </w:rPr>
              <w:t xml:space="preserve"> </w:t>
            </w:r>
          </w:p>
        </w:tc>
      </w:tr>
      <w:tr w:rsidR="00CA1FE2" w:rsidRPr="001909B5" w14:paraId="09246DFF" w14:textId="77777777" w:rsidTr="00C312F7">
        <w:trPr>
          <w:trHeight w:val="300"/>
          <w:jc w:val="center"/>
        </w:trPr>
        <w:tc>
          <w:tcPr>
            <w:tcW w:w="9783" w:type="dxa"/>
            <w:tcBorders>
              <w:top w:val="nil"/>
              <w:left w:val="nil"/>
              <w:right w:val="nil"/>
            </w:tcBorders>
            <w:shd w:val="clear" w:color="auto" w:fill="auto"/>
            <w:noWrap/>
            <w:vAlign w:val="center"/>
            <w:hideMark/>
          </w:tcPr>
          <w:p w14:paraId="3FD929C6" w14:textId="77777777" w:rsidR="00CA1FE2" w:rsidRPr="001909B5" w:rsidRDefault="00CA1FE2" w:rsidP="00D83BC6">
            <w:pPr>
              <w:rPr>
                <w:b/>
                <w:bCs/>
                <w:sz w:val="18"/>
                <w:szCs w:val="18"/>
              </w:rPr>
            </w:pPr>
            <w:r w:rsidRPr="001909B5">
              <w:rPr>
                <w:b/>
                <w:bCs/>
                <w:sz w:val="18"/>
                <w:szCs w:val="18"/>
              </w:rPr>
              <w:t>Fortalezas centrales</w:t>
            </w:r>
          </w:p>
        </w:tc>
      </w:tr>
      <w:tr w:rsidR="00CA1FE2" w:rsidRPr="007E7B15" w14:paraId="6E0E9BD8" w14:textId="77777777" w:rsidTr="00C312F7">
        <w:trPr>
          <w:trHeight w:val="300"/>
          <w:jc w:val="center"/>
        </w:trPr>
        <w:tc>
          <w:tcPr>
            <w:tcW w:w="9783" w:type="dxa"/>
            <w:tcBorders>
              <w:top w:val="nil"/>
              <w:left w:val="nil"/>
              <w:bottom w:val="nil"/>
              <w:right w:val="nil"/>
            </w:tcBorders>
            <w:shd w:val="clear" w:color="auto" w:fill="auto"/>
            <w:noWrap/>
            <w:vAlign w:val="center"/>
            <w:hideMark/>
          </w:tcPr>
          <w:p w14:paraId="559C73AD" w14:textId="330B1DE7" w:rsidR="00CA1FE2" w:rsidRPr="00273218" w:rsidRDefault="00CA1FE2" w:rsidP="00CA1FE2">
            <w:pPr>
              <w:pStyle w:val="Prrafodelista"/>
              <w:numPr>
                <w:ilvl w:val="0"/>
                <w:numId w:val="2"/>
              </w:numPr>
              <w:rPr>
                <w:sz w:val="18"/>
                <w:szCs w:val="18"/>
              </w:rPr>
            </w:pPr>
            <w:r>
              <w:rPr>
                <w:sz w:val="18"/>
                <w:szCs w:val="18"/>
              </w:rPr>
              <w:t>Atomización de crédito y elevada masa de deudores</w:t>
            </w:r>
          </w:p>
        </w:tc>
      </w:tr>
      <w:tr w:rsidR="00CA1FE2" w:rsidRPr="007E7B15" w14:paraId="0E28E97A" w14:textId="77777777" w:rsidTr="00C312F7">
        <w:trPr>
          <w:trHeight w:val="300"/>
          <w:jc w:val="center"/>
        </w:trPr>
        <w:tc>
          <w:tcPr>
            <w:tcW w:w="9783" w:type="dxa"/>
            <w:tcBorders>
              <w:top w:val="dotted" w:sz="4" w:space="0" w:color="AE1619"/>
              <w:left w:val="nil"/>
              <w:right w:val="nil"/>
            </w:tcBorders>
            <w:shd w:val="clear" w:color="auto" w:fill="auto"/>
            <w:noWrap/>
            <w:vAlign w:val="center"/>
            <w:hideMark/>
          </w:tcPr>
          <w:p w14:paraId="417DB22B" w14:textId="77777777" w:rsidR="00CA1FE2" w:rsidRPr="007E7B15" w:rsidRDefault="00CA1FE2" w:rsidP="00D83BC6">
            <w:pPr>
              <w:rPr>
                <w:sz w:val="18"/>
                <w:szCs w:val="18"/>
              </w:rPr>
            </w:pPr>
            <w:r w:rsidRPr="007E7B15">
              <w:rPr>
                <w:sz w:val="18"/>
                <w:szCs w:val="18"/>
              </w:rPr>
              <w:t xml:space="preserve"> </w:t>
            </w:r>
          </w:p>
        </w:tc>
      </w:tr>
      <w:tr w:rsidR="00CA1FE2" w:rsidRPr="001909B5" w14:paraId="363D3604" w14:textId="77777777" w:rsidTr="00C312F7">
        <w:trPr>
          <w:trHeight w:val="300"/>
          <w:jc w:val="center"/>
        </w:trPr>
        <w:tc>
          <w:tcPr>
            <w:tcW w:w="9783" w:type="dxa"/>
            <w:tcBorders>
              <w:top w:val="nil"/>
              <w:left w:val="nil"/>
              <w:bottom w:val="nil"/>
              <w:right w:val="nil"/>
            </w:tcBorders>
            <w:shd w:val="clear" w:color="auto" w:fill="auto"/>
            <w:noWrap/>
            <w:vAlign w:val="center"/>
            <w:hideMark/>
          </w:tcPr>
          <w:p w14:paraId="5291963B" w14:textId="77777777" w:rsidR="00CA1FE2" w:rsidRPr="001909B5" w:rsidRDefault="00CA1FE2" w:rsidP="00D83BC6">
            <w:pPr>
              <w:rPr>
                <w:b/>
                <w:bCs/>
                <w:sz w:val="18"/>
                <w:szCs w:val="18"/>
              </w:rPr>
            </w:pPr>
            <w:r w:rsidRPr="001909B5">
              <w:rPr>
                <w:b/>
                <w:bCs/>
                <w:sz w:val="18"/>
                <w:szCs w:val="18"/>
              </w:rPr>
              <w:t>Fortalezas complementarias</w:t>
            </w:r>
          </w:p>
        </w:tc>
      </w:tr>
      <w:tr w:rsidR="00CA1FE2" w:rsidRPr="001909B5" w14:paraId="19D40A38" w14:textId="77777777" w:rsidTr="00C312F7">
        <w:trPr>
          <w:trHeight w:val="300"/>
          <w:jc w:val="center"/>
        </w:trPr>
        <w:tc>
          <w:tcPr>
            <w:tcW w:w="9783" w:type="dxa"/>
            <w:tcBorders>
              <w:top w:val="nil"/>
              <w:left w:val="nil"/>
              <w:bottom w:val="nil"/>
              <w:right w:val="nil"/>
            </w:tcBorders>
            <w:shd w:val="clear" w:color="auto" w:fill="auto"/>
            <w:noWrap/>
            <w:vAlign w:val="center"/>
            <w:hideMark/>
          </w:tcPr>
          <w:p w14:paraId="654E1676" w14:textId="31D206D1" w:rsidR="00CA1FE2" w:rsidRDefault="00DB6801" w:rsidP="00CA1FE2">
            <w:pPr>
              <w:pStyle w:val="Prrafodelista"/>
              <w:numPr>
                <w:ilvl w:val="0"/>
                <w:numId w:val="3"/>
              </w:numPr>
              <w:rPr>
                <w:sz w:val="18"/>
                <w:szCs w:val="18"/>
              </w:rPr>
            </w:pPr>
            <w:r>
              <w:rPr>
                <w:sz w:val="18"/>
                <w:szCs w:val="18"/>
              </w:rPr>
              <w:t>Segundo actor en el mercado medido como número de afiliados y total de colocaciones</w:t>
            </w:r>
          </w:p>
          <w:p w14:paraId="2C90E109" w14:textId="456067BE" w:rsidR="00CA1FE2" w:rsidRDefault="00DB6801" w:rsidP="00CA1FE2">
            <w:pPr>
              <w:pStyle w:val="Prrafodelista"/>
              <w:numPr>
                <w:ilvl w:val="0"/>
                <w:numId w:val="3"/>
              </w:numPr>
              <w:rPr>
                <w:sz w:val="18"/>
                <w:szCs w:val="18"/>
              </w:rPr>
            </w:pPr>
            <w:r>
              <w:rPr>
                <w:sz w:val="18"/>
                <w:szCs w:val="18"/>
              </w:rPr>
              <w:t>Cartera con adecuado comportamiento</w:t>
            </w:r>
          </w:p>
          <w:p w14:paraId="7FC092FE" w14:textId="25C123D1" w:rsidR="00DB6801" w:rsidRPr="00DB6801" w:rsidRDefault="00DB6801" w:rsidP="00DB6801">
            <w:pPr>
              <w:pStyle w:val="Prrafodelista"/>
              <w:numPr>
                <w:ilvl w:val="0"/>
                <w:numId w:val="3"/>
              </w:numPr>
              <w:rPr>
                <w:sz w:val="18"/>
                <w:szCs w:val="18"/>
              </w:rPr>
            </w:pPr>
            <w:r>
              <w:rPr>
                <w:sz w:val="18"/>
                <w:szCs w:val="18"/>
              </w:rPr>
              <w:t>Sistema de recaudación favorecido por legislación</w:t>
            </w:r>
          </w:p>
        </w:tc>
      </w:tr>
      <w:tr w:rsidR="00CA1FE2" w:rsidRPr="001909B5" w14:paraId="5E456621" w14:textId="77777777" w:rsidTr="00C312F7">
        <w:trPr>
          <w:trHeight w:val="57"/>
          <w:jc w:val="center"/>
        </w:trPr>
        <w:tc>
          <w:tcPr>
            <w:tcW w:w="9783" w:type="dxa"/>
            <w:tcBorders>
              <w:top w:val="nil"/>
              <w:left w:val="nil"/>
              <w:bottom w:val="nil"/>
              <w:right w:val="nil"/>
            </w:tcBorders>
            <w:shd w:val="clear" w:color="auto" w:fill="auto"/>
            <w:noWrap/>
            <w:vAlign w:val="center"/>
            <w:hideMark/>
          </w:tcPr>
          <w:p w14:paraId="7698C834" w14:textId="77777777" w:rsidR="00CA1FE2" w:rsidRPr="00466F24" w:rsidRDefault="00CA1FE2" w:rsidP="00D83BC6">
            <w:pPr>
              <w:rPr>
                <w:sz w:val="18"/>
                <w:szCs w:val="18"/>
              </w:rPr>
            </w:pPr>
          </w:p>
        </w:tc>
      </w:tr>
      <w:tr w:rsidR="00CA1FE2" w:rsidRPr="001909B5" w14:paraId="71ACD35F" w14:textId="77777777" w:rsidTr="00C312F7">
        <w:trPr>
          <w:trHeight w:val="57"/>
          <w:jc w:val="center"/>
        </w:trPr>
        <w:tc>
          <w:tcPr>
            <w:tcW w:w="9783" w:type="dxa"/>
            <w:tcBorders>
              <w:top w:val="dotted" w:sz="4" w:space="0" w:color="AE1619"/>
              <w:left w:val="nil"/>
              <w:bottom w:val="nil"/>
              <w:right w:val="nil"/>
            </w:tcBorders>
            <w:shd w:val="clear" w:color="auto" w:fill="auto"/>
            <w:noWrap/>
            <w:vAlign w:val="center"/>
            <w:hideMark/>
          </w:tcPr>
          <w:p w14:paraId="276BE7EA" w14:textId="77777777" w:rsidR="00CA1FE2" w:rsidRPr="001909B5" w:rsidRDefault="00CA1FE2" w:rsidP="00D83BC6">
            <w:pPr>
              <w:rPr>
                <w:sz w:val="18"/>
                <w:szCs w:val="18"/>
              </w:rPr>
            </w:pPr>
            <w:r w:rsidRPr="001909B5">
              <w:rPr>
                <w:sz w:val="18"/>
                <w:szCs w:val="18"/>
              </w:rPr>
              <w:t xml:space="preserve"> </w:t>
            </w:r>
          </w:p>
        </w:tc>
      </w:tr>
      <w:tr w:rsidR="00CA1FE2" w:rsidRPr="001909B5" w14:paraId="433D02F0" w14:textId="77777777" w:rsidTr="00C312F7">
        <w:trPr>
          <w:trHeight w:val="300"/>
          <w:jc w:val="center"/>
        </w:trPr>
        <w:tc>
          <w:tcPr>
            <w:tcW w:w="9783" w:type="dxa"/>
            <w:tcBorders>
              <w:top w:val="nil"/>
              <w:left w:val="nil"/>
              <w:bottom w:val="nil"/>
              <w:right w:val="nil"/>
            </w:tcBorders>
            <w:shd w:val="clear" w:color="auto" w:fill="auto"/>
            <w:noWrap/>
            <w:vAlign w:val="center"/>
            <w:hideMark/>
          </w:tcPr>
          <w:p w14:paraId="0E35DBC6" w14:textId="77777777" w:rsidR="00CA1FE2" w:rsidRPr="00D855B4" w:rsidRDefault="00CA1FE2" w:rsidP="00D83BC6">
            <w:pPr>
              <w:rPr>
                <w:b/>
                <w:bCs/>
                <w:sz w:val="18"/>
                <w:szCs w:val="18"/>
              </w:rPr>
            </w:pPr>
            <w:r>
              <w:rPr>
                <w:b/>
                <w:bCs/>
                <w:sz w:val="18"/>
                <w:szCs w:val="18"/>
              </w:rPr>
              <w:t>Fortalezas de apoyo</w:t>
            </w:r>
          </w:p>
        </w:tc>
      </w:tr>
      <w:tr w:rsidR="00CA1FE2" w:rsidRPr="001909B5" w14:paraId="2804FB31" w14:textId="77777777" w:rsidTr="00C312F7">
        <w:trPr>
          <w:trHeight w:val="300"/>
          <w:jc w:val="center"/>
        </w:trPr>
        <w:tc>
          <w:tcPr>
            <w:tcW w:w="9783" w:type="dxa"/>
            <w:tcBorders>
              <w:top w:val="nil"/>
              <w:left w:val="nil"/>
              <w:bottom w:val="nil"/>
              <w:right w:val="nil"/>
            </w:tcBorders>
            <w:shd w:val="clear" w:color="auto" w:fill="auto"/>
            <w:noWrap/>
            <w:vAlign w:val="center"/>
            <w:hideMark/>
          </w:tcPr>
          <w:p w14:paraId="11C7D57F" w14:textId="5FEE2765" w:rsidR="006C0CCE" w:rsidRDefault="006C0CCE" w:rsidP="006C0CCE">
            <w:pPr>
              <w:pStyle w:val="Prrafodelista"/>
              <w:numPr>
                <w:ilvl w:val="0"/>
                <w:numId w:val="4"/>
              </w:numPr>
              <w:rPr>
                <w:sz w:val="18"/>
                <w:szCs w:val="18"/>
              </w:rPr>
            </w:pPr>
            <w:r>
              <w:rPr>
                <w:sz w:val="18"/>
                <w:szCs w:val="18"/>
              </w:rPr>
              <w:t>Acceso a conocimiento específico de su segmento objetivo</w:t>
            </w:r>
          </w:p>
          <w:p w14:paraId="5BF9815E" w14:textId="2381D2D7" w:rsidR="006C0CCE" w:rsidRDefault="006C0CCE" w:rsidP="006C0CCE">
            <w:pPr>
              <w:pStyle w:val="Prrafodelista"/>
              <w:numPr>
                <w:ilvl w:val="0"/>
                <w:numId w:val="4"/>
              </w:numPr>
              <w:rPr>
                <w:sz w:val="18"/>
                <w:szCs w:val="18"/>
              </w:rPr>
            </w:pPr>
            <w:r>
              <w:rPr>
                <w:sz w:val="18"/>
                <w:szCs w:val="18"/>
              </w:rPr>
              <w:t>Ingresos de bajo riesgo</w:t>
            </w:r>
          </w:p>
          <w:p w14:paraId="1105B07D" w14:textId="1AB992FF" w:rsidR="006C0CCE" w:rsidRPr="006C0CCE" w:rsidRDefault="006C0CCE" w:rsidP="006C0CCE">
            <w:pPr>
              <w:pStyle w:val="Prrafodelista"/>
              <w:numPr>
                <w:ilvl w:val="0"/>
                <w:numId w:val="4"/>
              </w:numPr>
              <w:rPr>
                <w:sz w:val="18"/>
                <w:szCs w:val="18"/>
              </w:rPr>
            </w:pPr>
            <w:r>
              <w:rPr>
                <w:sz w:val="18"/>
                <w:szCs w:val="18"/>
              </w:rPr>
              <w:t>Adecuado retorno respecto al riesgo</w:t>
            </w:r>
          </w:p>
          <w:p w14:paraId="0BA3DA93" w14:textId="77777777" w:rsidR="00CA1FE2" w:rsidRPr="00E53065" w:rsidRDefault="00CA1FE2" w:rsidP="00D83BC6">
            <w:pPr>
              <w:pStyle w:val="Prrafodelista"/>
              <w:rPr>
                <w:sz w:val="18"/>
                <w:szCs w:val="18"/>
              </w:rPr>
            </w:pPr>
          </w:p>
        </w:tc>
      </w:tr>
      <w:tr w:rsidR="00CA1FE2" w:rsidRPr="001909B5" w14:paraId="4BFCA7A6" w14:textId="77777777" w:rsidTr="00C312F7">
        <w:trPr>
          <w:trHeight w:val="57"/>
          <w:jc w:val="center"/>
        </w:trPr>
        <w:tc>
          <w:tcPr>
            <w:tcW w:w="9783" w:type="dxa"/>
            <w:tcBorders>
              <w:top w:val="nil"/>
              <w:left w:val="nil"/>
              <w:bottom w:val="dotted" w:sz="4" w:space="0" w:color="E6344B"/>
              <w:right w:val="nil"/>
            </w:tcBorders>
            <w:shd w:val="clear" w:color="auto" w:fill="auto"/>
            <w:noWrap/>
            <w:vAlign w:val="center"/>
            <w:hideMark/>
          </w:tcPr>
          <w:p w14:paraId="62254CB5" w14:textId="77777777" w:rsidR="00CA1FE2" w:rsidRPr="004C260C" w:rsidRDefault="00CA1FE2" w:rsidP="00D83BC6">
            <w:pPr>
              <w:rPr>
                <w:sz w:val="18"/>
                <w:szCs w:val="18"/>
              </w:rPr>
            </w:pPr>
          </w:p>
        </w:tc>
      </w:tr>
      <w:tr w:rsidR="00CA1FE2" w:rsidRPr="00D855B4" w14:paraId="7AB91E77" w14:textId="77777777" w:rsidTr="00C312F7">
        <w:trPr>
          <w:trHeight w:val="300"/>
          <w:jc w:val="center"/>
        </w:trPr>
        <w:tc>
          <w:tcPr>
            <w:tcW w:w="9783" w:type="dxa"/>
            <w:tcBorders>
              <w:top w:val="nil"/>
              <w:left w:val="nil"/>
              <w:bottom w:val="dotted" w:sz="4" w:space="0" w:color="E6344B"/>
              <w:right w:val="nil"/>
            </w:tcBorders>
            <w:shd w:val="clear" w:color="auto" w:fill="auto"/>
            <w:noWrap/>
            <w:vAlign w:val="center"/>
            <w:hideMark/>
          </w:tcPr>
          <w:p w14:paraId="36B87AB9" w14:textId="77777777" w:rsidR="00CA1FE2" w:rsidRDefault="00CA1FE2" w:rsidP="00D83BC6">
            <w:pPr>
              <w:rPr>
                <w:sz w:val="18"/>
                <w:szCs w:val="18"/>
              </w:rPr>
            </w:pPr>
          </w:p>
          <w:p w14:paraId="5E48E8DE" w14:textId="77777777" w:rsidR="00CA1FE2" w:rsidRPr="00466F24" w:rsidRDefault="00CA1FE2" w:rsidP="00D83BC6">
            <w:pPr>
              <w:rPr>
                <w:b/>
                <w:bCs/>
                <w:sz w:val="18"/>
                <w:szCs w:val="18"/>
              </w:rPr>
            </w:pPr>
            <w:r w:rsidRPr="00466F24">
              <w:rPr>
                <w:b/>
                <w:bCs/>
                <w:sz w:val="18"/>
                <w:szCs w:val="18"/>
              </w:rPr>
              <w:t>Riesgos considerados</w:t>
            </w:r>
          </w:p>
          <w:p w14:paraId="5DA320BE" w14:textId="4300C58F" w:rsidR="006C0CCE" w:rsidRDefault="006C0CCE" w:rsidP="00CA1FE2">
            <w:pPr>
              <w:pStyle w:val="Prrafodelista"/>
              <w:numPr>
                <w:ilvl w:val="0"/>
                <w:numId w:val="5"/>
              </w:numPr>
              <w:rPr>
                <w:sz w:val="18"/>
                <w:szCs w:val="18"/>
              </w:rPr>
            </w:pPr>
            <w:r>
              <w:rPr>
                <w:sz w:val="18"/>
                <w:szCs w:val="18"/>
              </w:rPr>
              <w:t>Exigencia de cumplimiento de acuerdos</w:t>
            </w:r>
          </w:p>
          <w:p w14:paraId="35E6C70A" w14:textId="298EED78" w:rsidR="006C0CCE" w:rsidRDefault="006C0CCE" w:rsidP="00CA1FE2">
            <w:pPr>
              <w:pStyle w:val="Prrafodelista"/>
              <w:numPr>
                <w:ilvl w:val="0"/>
                <w:numId w:val="5"/>
              </w:numPr>
              <w:rPr>
                <w:sz w:val="18"/>
                <w:szCs w:val="18"/>
              </w:rPr>
            </w:pPr>
            <w:r>
              <w:rPr>
                <w:sz w:val="18"/>
                <w:szCs w:val="18"/>
              </w:rPr>
              <w:t>Incapacidad de acceder a fuentes de financiamiento</w:t>
            </w:r>
          </w:p>
          <w:p w14:paraId="7D0F8452" w14:textId="4823438D" w:rsidR="006C0CCE" w:rsidRDefault="006C0CCE" w:rsidP="00CA1FE2">
            <w:pPr>
              <w:pStyle w:val="Prrafodelista"/>
              <w:numPr>
                <w:ilvl w:val="0"/>
                <w:numId w:val="5"/>
              </w:numPr>
              <w:rPr>
                <w:sz w:val="18"/>
                <w:szCs w:val="18"/>
              </w:rPr>
            </w:pPr>
            <w:r>
              <w:rPr>
                <w:sz w:val="18"/>
                <w:szCs w:val="18"/>
              </w:rPr>
              <w:t>Aumentos de patrimonio sujetos a generación de utilidades (riesgo atenuado por la actual situación financiera)</w:t>
            </w:r>
          </w:p>
          <w:p w14:paraId="280E9BF8" w14:textId="3E84F92F" w:rsidR="006C0CCE" w:rsidRDefault="006C0CCE" w:rsidP="00CA1FE2">
            <w:pPr>
              <w:pStyle w:val="Prrafodelista"/>
              <w:numPr>
                <w:ilvl w:val="0"/>
                <w:numId w:val="5"/>
              </w:numPr>
              <w:rPr>
                <w:sz w:val="18"/>
                <w:szCs w:val="18"/>
              </w:rPr>
            </w:pPr>
            <w:r w:rsidRPr="00644691">
              <w:rPr>
                <w:sz w:val="18"/>
                <w:szCs w:val="18"/>
              </w:rPr>
              <w:t>Endeudamiento relativamente elevado</w:t>
            </w:r>
          </w:p>
          <w:p w14:paraId="6D78A372" w14:textId="03A88DA7" w:rsidR="006C0CCE" w:rsidRDefault="00E36E07" w:rsidP="00CA1FE2">
            <w:pPr>
              <w:pStyle w:val="Prrafodelista"/>
              <w:numPr>
                <w:ilvl w:val="0"/>
                <w:numId w:val="5"/>
              </w:numPr>
              <w:rPr>
                <w:sz w:val="18"/>
                <w:szCs w:val="18"/>
              </w:rPr>
            </w:pPr>
            <w:r>
              <w:rPr>
                <w:sz w:val="18"/>
                <w:szCs w:val="18"/>
              </w:rPr>
              <w:t>Potenciales cambios en el entorno competitivo</w:t>
            </w:r>
          </w:p>
          <w:p w14:paraId="135429CF" w14:textId="55413637" w:rsidR="00E36E07" w:rsidRDefault="00E36E07" w:rsidP="00CA1FE2">
            <w:pPr>
              <w:pStyle w:val="Prrafodelista"/>
              <w:numPr>
                <w:ilvl w:val="0"/>
                <w:numId w:val="5"/>
              </w:numPr>
              <w:rPr>
                <w:sz w:val="18"/>
                <w:szCs w:val="18"/>
              </w:rPr>
            </w:pPr>
            <w:r>
              <w:rPr>
                <w:sz w:val="18"/>
                <w:szCs w:val="18"/>
              </w:rPr>
              <w:t xml:space="preserve">Mercado objetivo riesgoso que cuenta con clientes poco bancarizados (riesgo atenuado por el </w:t>
            </w:r>
            <w:r w:rsidR="0065219C">
              <w:rPr>
                <w:sz w:val="18"/>
                <w:szCs w:val="18"/>
              </w:rPr>
              <w:t>descuento por planilla)</w:t>
            </w:r>
          </w:p>
          <w:p w14:paraId="744DDF88" w14:textId="46A30B9D" w:rsidR="0065219C" w:rsidRDefault="0065219C" w:rsidP="00CA1FE2">
            <w:pPr>
              <w:pStyle w:val="Prrafodelista"/>
              <w:numPr>
                <w:ilvl w:val="0"/>
                <w:numId w:val="5"/>
              </w:numPr>
              <w:rPr>
                <w:sz w:val="18"/>
                <w:szCs w:val="18"/>
              </w:rPr>
            </w:pPr>
            <w:r>
              <w:rPr>
                <w:sz w:val="18"/>
                <w:szCs w:val="18"/>
              </w:rPr>
              <w:t>Cambios legales que impidan el descuento por planilla</w:t>
            </w:r>
            <w:r w:rsidR="009D5C8F">
              <w:rPr>
                <w:sz w:val="18"/>
                <w:szCs w:val="18"/>
              </w:rPr>
              <w:t xml:space="preserve"> (de baja probabilidad, pero de impacto muy severo)</w:t>
            </w:r>
          </w:p>
          <w:p w14:paraId="6940751A" w14:textId="5FDB901C" w:rsidR="009D5C8F" w:rsidRDefault="009D5C8F" w:rsidP="00CA1FE2">
            <w:pPr>
              <w:pStyle w:val="Prrafodelista"/>
              <w:numPr>
                <w:ilvl w:val="0"/>
                <w:numId w:val="5"/>
              </w:numPr>
              <w:rPr>
                <w:sz w:val="18"/>
                <w:szCs w:val="18"/>
              </w:rPr>
            </w:pPr>
            <w:r>
              <w:rPr>
                <w:sz w:val="18"/>
                <w:szCs w:val="18"/>
              </w:rPr>
              <w:t>Características del fondeo (atenuado por distinto segmento objetivo al que enfocan los bancos)</w:t>
            </w:r>
          </w:p>
          <w:p w14:paraId="55942557" w14:textId="77777777" w:rsidR="00CA1FE2" w:rsidRPr="00B1188E" w:rsidRDefault="00CA1FE2" w:rsidP="00D83BC6">
            <w:pPr>
              <w:pStyle w:val="Prrafodelista"/>
              <w:rPr>
                <w:sz w:val="18"/>
                <w:szCs w:val="18"/>
              </w:rPr>
            </w:pPr>
          </w:p>
          <w:p w14:paraId="2F696E4C" w14:textId="77777777" w:rsidR="00CA1FE2" w:rsidRPr="00466F24" w:rsidRDefault="00CA1FE2" w:rsidP="00D83BC6">
            <w:pPr>
              <w:pStyle w:val="Prrafodelista"/>
              <w:rPr>
                <w:sz w:val="18"/>
                <w:szCs w:val="18"/>
              </w:rPr>
            </w:pPr>
          </w:p>
        </w:tc>
      </w:tr>
    </w:tbl>
    <w:p w14:paraId="33EC44C4" w14:textId="77777777" w:rsidR="00B55732" w:rsidRDefault="00B55732" w:rsidP="00386753">
      <w:pPr>
        <w:spacing w:after="120"/>
        <w:jc w:val="both"/>
      </w:pPr>
    </w:p>
    <w:p w14:paraId="0777638B" w14:textId="66F8BADA" w:rsidR="00F305AA" w:rsidRPr="00E10DEB" w:rsidRDefault="00F305AA" w:rsidP="006401C6">
      <w:pPr>
        <w:pStyle w:val="Ttulo1"/>
        <w:spacing w:before="0" w:after="120" w:line="240" w:lineRule="auto"/>
      </w:pPr>
      <w:r w:rsidRPr="00E10DEB">
        <w:t>Hechos recientes</w:t>
      </w:r>
    </w:p>
    <w:p w14:paraId="0A328246" w14:textId="58F087DF" w:rsidR="00F305AA" w:rsidRPr="00F305AA" w:rsidRDefault="00F305AA" w:rsidP="006401C6">
      <w:pPr>
        <w:pStyle w:val="Ttulo"/>
        <w:spacing w:after="120" w:line="240" w:lineRule="auto"/>
        <w:rPr>
          <w:rFonts w:eastAsia="Times New Roman"/>
          <w:lang w:val="es-ES" w:eastAsia="es-ES"/>
        </w:rPr>
      </w:pPr>
      <w:r w:rsidRPr="00F305AA">
        <w:rPr>
          <w:rFonts w:eastAsia="Times New Roman"/>
          <w:lang w:val="es-ES" w:eastAsia="es-ES"/>
        </w:rPr>
        <w:t xml:space="preserve">Resultados </w:t>
      </w:r>
      <w:r w:rsidR="00942F1F">
        <w:rPr>
          <w:rFonts w:eastAsia="Times New Roman"/>
          <w:lang w:val="es-ES" w:eastAsia="es-ES"/>
        </w:rPr>
        <w:t>marzo</w:t>
      </w:r>
      <w:r w:rsidRPr="00F305AA">
        <w:rPr>
          <w:rFonts w:eastAsia="Times New Roman"/>
          <w:lang w:val="es-ES" w:eastAsia="es-ES"/>
        </w:rPr>
        <w:t xml:space="preserve"> </w:t>
      </w:r>
      <w:r w:rsidR="00942F1F">
        <w:rPr>
          <w:rFonts w:eastAsia="Times New Roman"/>
          <w:lang w:val="es-ES" w:eastAsia="es-ES"/>
        </w:rPr>
        <w:t>202</w:t>
      </w:r>
      <w:r w:rsidR="00F16DD9">
        <w:rPr>
          <w:rFonts w:eastAsia="Times New Roman"/>
          <w:lang w:val="es-ES" w:eastAsia="es-ES"/>
        </w:rPr>
        <w:t>2</w:t>
      </w:r>
    </w:p>
    <w:p w14:paraId="091767E3" w14:textId="598F72A3" w:rsidR="003D721D" w:rsidRDefault="003D721D" w:rsidP="006401C6">
      <w:pPr>
        <w:tabs>
          <w:tab w:val="left" w:pos="0"/>
          <w:tab w:val="left" w:pos="11160"/>
        </w:tabs>
        <w:spacing w:after="120"/>
        <w:ind w:right="-1"/>
        <w:jc w:val="both"/>
      </w:pPr>
      <w:r>
        <w:t>Entre enero y marzo de 202</w:t>
      </w:r>
      <w:r w:rsidR="00F16DD9">
        <w:t>2</w:t>
      </w:r>
      <w:r>
        <w:t xml:space="preserve"> la corporación presentó ingresos de actividades de la operación (</w:t>
      </w:r>
      <w:r w:rsidR="00081413">
        <w:t>ingresos por intereses y reajustes, ingresos por actividades ordinarias y otros ingresos</w:t>
      </w:r>
      <w:r>
        <w:t>) de $ 20.</w:t>
      </w:r>
      <w:r w:rsidR="00683E76">
        <w:t>658</w:t>
      </w:r>
      <w:r>
        <w:t xml:space="preserve"> millones</w:t>
      </w:r>
      <w:r w:rsidR="00F30FD9">
        <w:t xml:space="preserve">, </w:t>
      </w:r>
      <w:r w:rsidR="00E413F7">
        <w:t>monto similar al presentado en el mismo periodo del año pasado, con una variación menor al 1%.</w:t>
      </w:r>
    </w:p>
    <w:p w14:paraId="61F918F9" w14:textId="0DBB5631" w:rsidR="003D721D" w:rsidRDefault="003D721D" w:rsidP="006401C6">
      <w:pPr>
        <w:tabs>
          <w:tab w:val="left" w:pos="0"/>
          <w:tab w:val="left" w:pos="11160"/>
        </w:tabs>
        <w:spacing w:after="120"/>
        <w:ind w:right="-1"/>
        <w:jc w:val="both"/>
      </w:pPr>
      <w:r>
        <w:t>En tanto el gasto por intereses y reajustes alcanzó los $ 5.</w:t>
      </w:r>
      <w:r w:rsidR="00827B43">
        <w:t>504</w:t>
      </w:r>
      <w:r>
        <w:t xml:space="preserve"> millones, </w:t>
      </w:r>
      <w:r w:rsidR="00B20AD3">
        <w:t>monto menor</w:t>
      </w:r>
      <w:r>
        <w:t xml:space="preserve"> e</w:t>
      </w:r>
      <w:r w:rsidR="00F74617">
        <w:t>n</w:t>
      </w:r>
      <w:r>
        <w:t xml:space="preserve"> un </w:t>
      </w:r>
      <w:r w:rsidR="00F74617">
        <w:t>7,1</w:t>
      </w:r>
      <w:r>
        <w:t xml:space="preserve">% a lo registrado </w:t>
      </w:r>
      <w:r w:rsidR="00F74617">
        <w:t>a</w:t>
      </w:r>
      <w:r>
        <w:t xml:space="preserve"> marzo de 202</w:t>
      </w:r>
      <w:r w:rsidR="00F74617">
        <w:t>1</w:t>
      </w:r>
      <w:r>
        <w:t>, asociado a un menor nivel de deuda financiera producto de las amortizaciones realizadas en el período. Por su parte los gastos operacionales</w:t>
      </w:r>
      <w:r w:rsidR="00660404">
        <w:rPr>
          <w:rStyle w:val="Refdenotaalpie"/>
        </w:rPr>
        <w:footnoteReference w:id="9"/>
      </w:r>
      <w:r>
        <w:t xml:space="preserve"> sumaron $ </w:t>
      </w:r>
      <w:r w:rsidR="00290E32">
        <w:t>13.665</w:t>
      </w:r>
      <w:r>
        <w:t xml:space="preserve"> millones (</w:t>
      </w:r>
      <w:r w:rsidR="00D66D83">
        <w:t>7,6</w:t>
      </w:r>
      <w:r>
        <w:t xml:space="preserve">% </w:t>
      </w:r>
      <w:r w:rsidR="00D66D83">
        <w:t xml:space="preserve">superior </w:t>
      </w:r>
      <w:r>
        <w:t>a lo exhibido el primer trimestre de 202</w:t>
      </w:r>
      <w:r w:rsidR="00D66D83">
        <w:t>1</w:t>
      </w:r>
      <w:r>
        <w:t>).</w:t>
      </w:r>
    </w:p>
    <w:p w14:paraId="2C3FFA6D" w14:textId="59AAE922" w:rsidR="003D721D" w:rsidRDefault="00087633" w:rsidP="006401C6">
      <w:pPr>
        <w:tabs>
          <w:tab w:val="left" w:pos="0"/>
          <w:tab w:val="left" w:pos="11160"/>
        </w:tabs>
        <w:spacing w:after="120"/>
        <w:ind w:right="-1"/>
        <w:jc w:val="both"/>
      </w:pPr>
      <w:r>
        <w:lastRenderedPageBreak/>
        <w:t xml:space="preserve">A marzo </w:t>
      </w:r>
      <w:r w:rsidR="003D721D">
        <w:t>de 202</w:t>
      </w:r>
      <w:r>
        <w:t>2</w:t>
      </w:r>
      <w:r w:rsidR="00450D29">
        <w:t>,</w:t>
      </w:r>
      <w:r w:rsidR="003D721D">
        <w:t xml:space="preserve"> </w:t>
      </w:r>
      <w:r w:rsidR="001C5394">
        <w:t xml:space="preserve">el </w:t>
      </w:r>
      <w:r w:rsidR="0017450C">
        <w:t>resultado</w:t>
      </w:r>
      <w:r w:rsidR="003D721D">
        <w:t xml:space="preserve"> alcanzó</w:t>
      </w:r>
      <w:r w:rsidR="0017450C">
        <w:t xml:space="preserve"> una pérdida de</w:t>
      </w:r>
      <w:r w:rsidR="00450D29">
        <w:t>, aproximadamente,</w:t>
      </w:r>
      <w:r w:rsidR="003D721D">
        <w:t xml:space="preserve"> $ </w:t>
      </w:r>
      <w:r w:rsidR="00087C8B">
        <w:t>231</w:t>
      </w:r>
      <w:r w:rsidR="003D721D">
        <w:t xml:space="preserve"> millones, lo que</w:t>
      </w:r>
      <w:r w:rsidR="0026743A">
        <w:t xml:space="preserve"> se</w:t>
      </w:r>
      <w:r w:rsidR="00087C8B">
        <w:t xml:space="preserve"> compara negativamente con la ganancia</w:t>
      </w:r>
      <w:r w:rsidR="00665E83">
        <w:t xml:space="preserve"> registrada en </w:t>
      </w:r>
      <w:r w:rsidR="0026743A">
        <w:t>el mismo periodo de 2021.</w:t>
      </w:r>
    </w:p>
    <w:p w14:paraId="72D6A61A" w14:textId="18788E11" w:rsidR="0048421B" w:rsidRDefault="003D721D" w:rsidP="006401C6">
      <w:pPr>
        <w:tabs>
          <w:tab w:val="left" w:pos="0"/>
          <w:tab w:val="left" w:pos="11160"/>
        </w:tabs>
        <w:spacing w:after="120"/>
        <w:ind w:right="-1"/>
        <w:jc w:val="both"/>
      </w:pPr>
      <w:r>
        <w:t xml:space="preserve">Los activos de </w:t>
      </w:r>
      <w:r w:rsidRPr="003A70A7">
        <w:rPr>
          <w:b/>
          <w:bCs/>
        </w:rPr>
        <w:t>CCAF La Araucan</w:t>
      </w:r>
      <w:r w:rsidRPr="00C429AF">
        <w:rPr>
          <w:b/>
          <w:bCs/>
        </w:rPr>
        <w:t>a</w:t>
      </w:r>
      <w:r w:rsidRPr="00C429AF">
        <w:t xml:space="preserve"> ascendieron a $ </w:t>
      </w:r>
      <w:r w:rsidR="00567B27">
        <w:t>525.612</w:t>
      </w:r>
      <w:r w:rsidRPr="00C429AF">
        <w:t xml:space="preserve"> millones y </w:t>
      </w:r>
      <w:r w:rsidRPr="00003E69">
        <w:t xml:space="preserve">sus colocaciones totales a $ </w:t>
      </w:r>
      <w:r w:rsidR="00487E5F" w:rsidRPr="00003E69">
        <w:t>28</w:t>
      </w:r>
      <w:r w:rsidR="00551F21" w:rsidRPr="00003E69">
        <w:t>0</w:t>
      </w:r>
      <w:r w:rsidR="00487E5F" w:rsidRPr="00003E69">
        <w:t>.</w:t>
      </w:r>
      <w:r w:rsidR="00551F21" w:rsidRPr="00003E69">
        <w:t>486</w:t>
      </w:r>
      <w:r w:rsidR="00487E5F" w:rsidRPr="00003E69">
        <w:t xml:space="preserve"> </w:t>
      </w:r>
      <w:r w:rsidRPr="00003E69">
        <w:t>millones</w:t>
      </w:r>
      <w:r w:rsidR="00D9112D" w:rsidRPr="00003E69">
        <w:rPr>
          <w:rStyle w:val="Refdenotaalpie"/>
        </w:rPr>
        <w:footnoteReference w:id="10"/>
      </w:r>
      <w:r w:rsidRPr="00003E69">
        <w:t>,</w:t>
      </w:r>
      <w:r w:rsidRPr="00C429AF">
        <w:t xml:space="preserve"> teniendo un pasivo</w:t>
      </w:r>
      <w:r>
        <w:t xml:space="preserve"> total de $ </w:t>
      </w:r>
      <w:r w:rsidR="008949F9">
        <w:t>354.299</w:t>
      </w:r>
      <w:r>
        <w:t xml:space="preserve"> millones, un pasivo financiero de $ </w:t>
      </w:r>
      <w:r w:rsidRPr="00003E69">
        <w:t>3</w:t>
      </w:r>
      <w:r w:rsidR="00902190">
        <w:t>27.91</w:t>
      </w:r>
      <w:r w:rsidR="001522A6">
        <w:t>1</w:t>
      </w:r>
      <w:r>
        <w:t xml:space="preserve"> millones y un patrimonio equivalente a $ 17</w:t>
      </w:r>
      <w:r w:rsidR="008949F9">
        <w:t>1</w:t>
      </w:r>
      <w:r>
        <w:t>.</w:t>
      </w:r>
      <w:r w:rsidR="008949F9">
        <w:t>313</w:t>
      </w:r>
      <w:r>
        <w:t xml:space="preserve"> millones.</w:t>
      </w:r>
    </w:p>
    <w:p w14:paraId="0F5E4754" w14:textId="7FAB89E9" w:rsidR="0036100E" w:rsidRDefault="003D721D" w:rsidP="006401C6">
      <w:pPr>
        <w:tabs>
          <w:tab w:val="left" w:pos="0"/>
          <w:tab w:val="left" w:pos="11160"/>
        </w:tabs>
        <w:spacing w:after="120"/>
        <w:ind w:right="-1"/>
        <w:jc w:val="both"/>
      </w:pPr>
      <w:r>
        <w:t xml:space="preserve">  </w:t>
      </w:r>
    </w:p>
    <w:p w14:paraId="287D4E48" w14:textId="1AB0A0D8" w:rsidR="000E3499" w:rsidRPr="000E3499" w:rsidRDefault="000E3499" w:rsidP="006401C6">
      <w:pPr>
        <w:pStyle w:val="Ttulo1"/>
        <w:spacing w:before="0" w:after="120" w:line="240" w:lineRule="auto"/>
        <w:rPr>
          <w:lang w:val="es-ES"/>
        </w:rPr>
      </w:pPr>
      <w:r w:rsidRPr="000E3499">
        <w:rPr>
          <w:lang w:val="es-ES"/>
        </w:rPr>
        <w:t xml:space="preserve">Definición de </w:t>
      </w:r>
      <w:r w:rsidR="00C312F7">
        <w:rPr>
          <w:lang w:val="es-ES"/>
        </w:rPr>
        <w:t>c</w:t>
      </w:r>
      <w:r w:rsidRPr="000E3499">
        <w:rPr>
          <w:lang w:val="es-ES"/>
        </w:rPr>
        <w:t>ategoría</w:t>
      </w:r>
      <w:r w:rsidR="00C312F7">
        <w:rPr>
          <w:lang w:val="es-ES"/>
        </w:rPr>
        <w:t>s</w:t>
      </w:r>
      <w:r w:rsidRPr="000E3499">
        <w:rPr>
          <w:lang w:val="es-ES"/>
        </w:rPr>
        <w:t xml:space="preserve"> de </w:t>
      </w:r>
      <w:r w:rsidR="00C312F7">
        <w:rPr>
          <w:lang w:val="es-ES"/>
        </w:rPr>
        <w:t>r</w:t>
      </w:r>
      <w:r w:rsidRPr="000E3499">
        <w:rPr>
          <w:lang w:val="es-ES"/>
        </w:rPr>
        <w:t>iesgo</w:t>
      </w:r>
    </w:p>
    <w:p w14:paraId="26CE546D" w14:textId="05D173FA" w:rsidR="00C312F7" w:rsidRDefault="000E3499" w:rsidP="00C312F7">
      <w:pPr>
        <w:pStyle w:val="Ttulo"/>
        <w:spacing w:after="120" w:line="240" w:lineRule="auto"/>
      </w:pPr>
      <w:r w:rsidRPr="009C2512">
        <w:t xml:space="preserve">Categoría </w:t>
      </w:r>
      <w:r w:rsidR="00600260">
        <w:t>BBB</w:t>
      </w:r>
      <w:r w:rsidR="00C312F7">
        <w:t xml:space="preserve"> </w:t>
      </w:r>
      <w:r w:rsidR="00C312F7" w:rsidRPr="00C312F7">
        <w:rPr>
          <w:b w:val="0"/>
          <w:bCs/>
        </w:rPr>
        <w:t xml:space="preserve">(títulos de deuda de </w:t>
      </w:r>
      <w:r w:rsidR="00C312F7">
        <w:rPr>
          <w:b w:val="0"/>
          <w:bCs/>
        </w:rPr>
        <w:t>larg</w:t>
      </w:r>
      <w:r w:rsidR="00C312F7" w:rsidRPr="00C312F7">
        <w:rPr>
          <w:b w:val="0"/>
          <w:bCs/>
        </w:rPr>
        <w:t>o plazo)</w:t>
      </w:r>
    </w:p>
    <w:p w14:paraId="724DBB84" w14:textId="0517362F" w:rsidR="00E47478" w:rsidRDefault="00E47478" w:rsidP="006401C6">
      <w:pPr>
        <w:tabs>
          <w:tab w:val="left" w:pos="0"/>
          <w:tab w:val="left" w:pos="1440"/>
          <w:tab w:val="left" w:pos="2160"/>
          <w:tab w:val="left" w:pos="2880"/>
          <w:tab w:val="left" w:pos="3600"/>
          <w:tab w:val="left" w:pos="4320"/>
          <w:tab w:val="left" w:pos="5040"/>
          <w:tab w:val="left" w:pos="5760"/>
          <w:tab w:val="left" w:pos="6480"/>
          <w:tab w:val="left" w:pos="7200"/>
          <w:tab w:val="left" w:pos="7920"/>
        </w:tabs>
        <w:suppressAutoHyphens/>
        <w:spacing w:after="120"/>
        <w:jc w:val="both"/>
      </w:pPr>
      <w:r w:rsidRPr="00E47478">
        <w:t xml:space="preserve">Corresponde a aquellos instrumentos que cuentan con una suficiente capacidad de pago del capital e intereses en los términos y plazos pactados, pero ésta es susceptible de debilitarse ante posibles cambios en el emisor, en la industria a que pertenece o en la economía. </w:t>
      </w:r>
    </w:p>
    <w:p w14:paraId="66864B47" w14:textId="77777777" w:rsidR="00C312F7" w:rsidRDefault="00C312F7" w:rsidP="006401C6">
      <w:pPr>
        <w:tabs>
          <w:tab w:val="left" w:pos="0"/>
          <w:tab w:val="left" w:pos="1440"/>
          <w:tab w:val="left" w:pos="2160"/>
          <w:tab w:val="left" w:pos="2880"/>
          <w:tab w:val="left" w:pos="3600"/>
          <w:tab w:val="left" w:pos="4320"/>
          <w:tab w:val="left" w:pos="5040"/>
          <w:tab w:val="left" w:pos="5760"/>
          <w:tab w:val="left" w:pos="6480"/>
          <w:tab w:val="left" w:pos="7200"/>
          <w:tab w:val="left" w:pos="7920"/>
        </w:tabs>
        <w:suppressAutoHyphens/>
        <w:spacing w:after="120"/>
        <w:jc w:val="both"/>
      </w:pPr>
    </w:p>
    <w:p w14:paraId="63596C04" w14:textId="77777777" w:rsidR="0077087E" w:rsidRDefault="0077087E" w:rsidP="006401C6">
      <w:pPr>
        <w:pStyle w:val="Ttulo"/>
        <w:spacing w:after="120" w:line="240" w:lineRule="auto"/>
      </w:pPr>
      <w:r>
        <w:t xml:space="preserve">Categoría Nivel 3 (N-3) </w:t>
      </w:r>
      <w:r w:rsidRPr="00C312F7">
        <w:rPr>
          <w:b w:val="0"/>
          <w:bCs/>
        </w:rPr>
        <w:t>(títulos de deuda de corto plazo)</w:t>
      </w:r>
    </w:p>
    <w:p w14:paraId="705FED69" w14:textId="01D2679C" w:rsidR="0048421B" w:rsidRDefault="0077087E" w:rsidP="006401C6">
      <w:pPr>
        <w:tabs>
          <w:tab w:val="left" w:pos="0"/>
          <w:tab w:val="left" w:pos="1440"/>
          <w:tab w:val="left" w:pos="2160"/>
          <w:tab w:val="left" w:pos="2880"/>
          <w:tab w:val="left" w:pos="3600"/>
          <w:tab w:val="left" w:pos="4320"/>
          <w:tab w:val="left" w:pos="5040"/>
          <w:tab w:val="left" w:pos="5760"/>
          <w:tab w:val="left" w:pos="6480"/>
          <w:tab w:val="left" w:pos="7200"/>
          <w:tab w:val="left" w:pos="7920"/>
        </w:tabs>
        <w:suppressAutoHyphens/>
        <w:spacing w:after="120"/>
        <w:jc w:val="both"/>
      </w:pPr>
      <w:r>
        <w:t>Corresponde a aquellos instrumentos que cuentan con suficiente capacidad de pago del capital e intereses en los términos y plazos pactados, pero ésta es susceptible de debilitarse ante posibles cambios en el emisor, en la industria a que pertenece o en la economía.</w:t>
      </w:r>
    </w:p>
    <w:p w14:paraId="753B83B6" w14:textId="28452A81" w:rsidR="00D0133C" w:rsidRDefault="00D0133C" w:rsidP="006401C6">
      <w:pPr>
        <w:tabs>
          <w:tab w:val="left" w:pos="0"/>
          <w:tab w:val="left" w:pos="1440"/>
          <w:tab w:val="left" w:pos="2160"/>
          <w:tab w:val="left" w:pos="2880"/>
          <w:tab w:val="left" w:pos="3600"/>
          <w:tab w:val="left" w:pos="4320"/>
          <w:tab w:val="left" w:pos="5040"/>
          <w:tab w:val="left" w:pos="5760"/>
          <w:tab w:val="left" w:pos="6480"/>
          <w:tab w:val="left" w:pos="7200"/>
          <w:tab w:val="left" w:pos="7920"/>
        </w:tabs>
        <w:suppressAutoHyphens/>
        <w:spacing w:after="120"/>
        <w:jc w:val="both"/>
      </w:pPr>
    </w:p>
    <w:p w14:paraId="0EF54D1E" w14:textId="728D0A98" w:rsidR="00C11B97" w:rsidRDefault="00C11B97" w:rsidP="006401C6">
      <w:pPr>
        <w:pStyle w:val="Ttulo1"/>
        <w:spacing w:before="0" w:after="120" w:line="240" w:lineRule="auto"/>
        <w:rPr>
          <w:lang w:val="es-ES"/>
        </w:rPr>
      </w:pPr>
      <w:r w:rsidRPr="000E53E4">
        <w:rPr>
          <w:lang w:val="es-ES"/>
        </w:rPr>
        <w:t>Oportunidades y fortalezas</w:t>
      </w:r>
    </w:p>
    <w:p w14:paraId="3886696F" w14:textId="071C4A7A" w:rsidR="004256AD" w:rsidRPr="001329A0" w:rsidRDefault="00604CDD" w:rsidP="006401C6">
      <w:pPr>
        <w:pStyle w:val="Ttulo"/>
        <w:spacing w:after="120" w:line="240" w:lineRule="auto"/>
        <w:contextualSpacing w:val="0"/>
        <w:jc w:val="both"/>
        <w:rPr>
          <w:rFonts w:ascii="Myriad Pro" w:hAnsi="Myriad Pro"/>
          <w:sz w:val="21"/>
          <w:szCs w:val="21"/>
        </w:rPr>
      </w:pPr>
      <w:r w:rsidRPr="001329A0">
        <w:rPr>
          <w:rFonts w:ascii="Myriad Pro" w:hAnsi="Myriad Pro"/>
          <w:sz w:val="21"/>
          <w:szCs w:val="21"/>
        </w:rPr>
        <w:t>Atomización de los créditos</w:t>
      </w:r>
      <w:r w:rsidR="00C62ACF" w:rsidRPr="001329A0">
        <w:rPr>
          <w:rFonts w:ascii="Myriad Pro" w:hAnsi="Myriad Pro"/>
          <w:sz w:val="21"/>
          <w:szCs w:val="21"/>
        </w:rPr>
        <w:t xml:space="preserve"> y masa de deudores</w:t>
      </w:r>
      <w:r w:rsidR="004256AD" w:rsidRPr="001329A0">
        <w:rPr>
          <w:rFonts w:ascii="Myriad Pro" w:hAnsi="Myriad Pro"/>
          <w:sz w:val="21"/>
          <w:szCs w:val="21"/>
        </w:rPr>
        <w:t>:</w:t>
      </w:r>
      <w:r w:rsidR="00DA6F29" w:rsidRPr="001329A0">
        <w:rPr>
          <w:rFonts w:ascii="Myriad Pro" w:hAnsi="Myriad Pro"/>
          <w:sz w:val="21"/>
          <w:szCs w:val="21"/>
        </w:rPr>
        <w:t xml:space="preserve"> </w:t>
      </w:r>
      <w:r w:rsidR="006B69DC" w:rsidRPr="001329A0">
        <w:rPr>
          <w:rFonts w:ascii="Myriad Pro" w:eastAsiaTheme="minorHAnsi" w:hAnsi="Myriad Pro" w:cstheme="minorBidi"/>
          <w:b w:val="0"/>
          <w:spacing w:val="0"/>
          <w:kern w:val="0"/>
          <w:sz w:val="21"/>
          <w:szCs w:val="21"/>
        </w:rPr>
        <w:t>A marzo de 202</w:t>
      </w:r>
      <w:r w:rsidR="00B63351">
        <w:rPr>
          <w:rFonts w:ascii="Myriad Pro" w:eastAsiaTheme="minorHAnsi" w:hAnsi="Myriad Pro" w:cstheme="minorBidi"/>
          <w:b w:val="0"/>
          <w:spacing w:val="0"/>
          <w:kern w:val="0"/>
          <w:sz w:val="21"/>
          <w:szCs w:val="21"/>
        </w:rPr>
        <w:t>2</w:t>
      </w:r>
      <w:r w:rsidR="006B69DC" w:rsidRPr="001329A0">
        <w:rPr>
          <w:rFonts w:ascii="Myriad Pro" w:eastAsiaTheme="minorHAnsi" w:hAnsi="Myriad Pro" w:cstheme="minorBidi"/>
          <w:b w:val="0"/>
          <w:spacing w:val="0"/>
          <w:kern w:val="0"/>
          <w:sz w:val="21"/>
          <w:szCs w:val="21"/>
        </w:rPr>
        <w:t xml:space="preserve"> se tenía un</w:t>
      </w:r>
      <w:r w:rsidR="006B69DC" w:rsidRPr="001329A0">
        <w:rPr>
          <w:rFonts w:ascii="Myriad Pro" w:eastAsiaTheme="minorHAnsi" w:hAnsi="Myriad Pro" w:cstheme="minorBidi"/>
          <w:b w:val="0"/>
          <w:i/>
          <w:iCs/>
          <w:spacing w:val="0"/>
          <w:kern w:val="0"/>
          <w:sz w:val="21"/>
          <w:szCs w:val="21"/>
        </w:rPr>
        <w:t xml:space="preserve"> stock</w:t>
      </w:r>
      <w:r w:rsidR="006B69DC" w:rsidRPr="001329A0">
        <w:rPr>
          <w:rFonts w:ascii="Myriad Pro" w:eastAsiaTheme="minorHAnsi" w:hAnsi="Myriad Pro" w:cstheme="minorBidi"/>
          <w:b w:val="0"/>
          <w:spacing w:val="0"/>
          <w:kern w:val="0"/>
          <w:sz w:val="21"/>
          <w:szCs w:val="21"/>
        </w:rPr>
        <w:t xml:space="preserve"> de colocaciones de $ </w:t>
      </w:r>
      <w:r w:rsidR="00487E5F" w:rsidRPr="001329A0">
        <w:rPr>
          <w:rFonts w:ascii="Myriad Pro" w:eastAsiaTheme="minorHAnsi" w:hAnsi="Myriad Pro" w:cstheme="minorBidi"/>
          <w:b w:val="0"/>
          <w:spacing w:val="0"/>
          <w:kern w:val="0"/>
          <w:sz w:val="21"/>
          <w:szCs w:val="21"/>
        </w:rPr>
        <w:t>28</w:t>
      </w:r>
      <w:r w:rsidR="00B63351">
        <w:rPr>
          <w:rFonts w:ascii="Myriad Pro" w:eastAsiaTheme="minorHAnsi" w:hAnsi="Myriad Pro" w:cstheme="minorBidi"/>
          <w:b w:val="0"/>
          <w:spacing w:val="0"/>
          <w:kern w:val="0"/>
          <w:sz w:val="21"/>
          <w:szCs w:val="21"/>
        </w:rPr>
        <w:t>0</w:t>
      </w:r>
      <w:r w:rsidR="00487E5F" w:rsidRPr="001329A0">
        <w:rPr>
          <w:rFonts w:ascii="Myriad Pro" w:eastAsiaTheme="minorHAnsi" w:hAnsi="Myriad Pro" w:cstheme="minorBidi"/>
          <w:b w:val="0"/>
          <w:spacing w:val="0"/>
          <w:kern w:val="0"/>
          <w:sz w:val="21"/>
          <w:szCs w:val="21"/>
        </w:rPr>
        <w:t>.</w:t>
      </w:r>
      <w:r w:rsidR="00667B37">
        <w:rPr>
          <w:rFonts w:ascii="Myriad Pro" w:eastAsiaTheme="minorHAnsi" w:hAnsi="Myriad Pro" w:cstheme="minorBidi"/>
          <w:b w:val="0"/>
          <w:spacing w:val="0"/>
          <w:kern w:val="0"/>
          <w:sz w:val="21"/>
          <w:szCs w:val="21"/>
        </w:rPr>
        <w:t>486</w:t>
      </w:r>
      <w:r w:rsidR="00620D43" w:rsidRPr="001329A0">
        <w:rPr>
          <w:rFonts w:ascii="Myriad Pro" w:eastAsiaTheme="minorHAnsi" w:hAnsi="Myriad Pro" w:cstheme="minorBidi"/>
          <w:b w:val="0"/>
          <w:spacing w:val="0"/>
          <w:kern w:val="0"/>
          <w:sz w:val="21"/>
          <w:szCs w:val="21"/>
        </w:rPr>
        <w:t xml:space="preserve"> </w:t>
      </w:r>
      <w:r w:rsidR="006B69DC" w:rsidRPr="001329A0">
        <w:rPr>
          <w:rFonts w:ascii="Myriad Pro" w:eastAsiaTheme="minorHAnsi" w:hAnsi="Myriad Pro" w:cstheme="minorBidi"/>
          <w:b w:val="0"/>
          <w:spacing w:val="0"/>
          <w:kern w:val="0"/>
          <w:sz w:val="21"/>
          <w:szCs w:val="21"/>
        </w:rPr>
        <w:t>millones</w:t>
      </w:r>
      <w:r w:rsidR="00620D43" w:rsidRPr="001329A0">
        <w:rPr>
          <w:rStyle w:val="Refdenotaalpie"/>
          <w:rFonts w:ascii="Myriad Pro" w:eastAsiaTheme="minorHAnsi" w:hAnsi="Myriad Pro" w:cstheme="minorBidi"/>
          <w:b w:val="0"/>
          <w:spacing w:val="0"/>
          <w:kern w:val="0"/>
          <w:sz w:val="21"/>
          <w:szCs w:val="21"/>
        </w:rPr>
        <w:footnoteReference w:id="11"/>
      </w:r>
      <w:r w:rsidR="00BD1BEF">
        <w:rPr>
          <w:rFonts w:ascii="Myriad Pro" w:eastAsiaTheme="minorHAnsi" w:hAnsi="Myriad Pro" w:cstheme="minorBidi"/>
          <w:b w:val="0"/>
          <w:spacing w:val="0"/>
          <w:kern w:val="0"/>
          <w:sz w:val="21"/>
          <w:szCs w:val="21"/>
        </w:rPr>
        <w:t>,</w:t>
      </w:r>
      <w:r w:rsidR="006B69DC" w:rsidRPr="001329A0">
        <w:rPr>
          <w:rFonts w:ascii="Myriad Pro" w:eastAsiaTheme="minorHAnsi" w:hAnsi="Myriad Pro" w:cstheme="minorBidi"/>
          <w:b w:val="0"/>
          <w:spacing w:val="0"/>
          <w:kern w:val="0"/>
          <w:sz w:val="21"/>
          <w:szCs w:val="21"/>
        </w:rPr>
        <w:t xml:space="preserve"> </w:t>
      </w:r>
      <w:r w:rsidR="00BD1BEF">
        <w:rPr>
          <w:rFonts w:ascii="Myriad Pro" w:eastAsiaTheme="minorHAnsi" w:hAnsi="Myriad Pro" w:cstheme="minorBidi"/>
          <w:b w:val="0"/>
          <w:spacing w:val="0"/>
          <w:kern w:val="0"/>
          <w:sz w:val="21"/>
          <w:szCs w:val="21"/>
        </w:rPr>
        <w:t>con</w:t>
      </w:r>
      <w:r w:rsidR="006B69DC" w:rsidRPr="001329A0">
        <w:rPr>
          <w:rFonts w:ascii="Myriad Pro" w:eastAsiaTheme="minorHAnsi" w:hAnsi="Myriad Pro" w:cstheme="minorBidi"/>
          <w:b w:val="0"/>
          <w:spacing w:val="0"/>
          <w:kern w:val="0"/>
          <w:sz w:val="21"/>
          <w:szCs w:val="21"/>
        </w:rPr>
        <w:t xml:space="preserve"> un valor promedio de M $ </w:t>
      </w:r>
      <w:r w:rsidR="006B69DC" w:rsidRPr="00D02C6C">
        <w:rPr>
          <w:rFonts w:ascii="Myriad Pro" w:eastAsiaTheme="minorHAnsi" w:hAnsi="Myriad Pro" w:cstheme="minorBidi"/>
          <w:b w:val="0"/>
          <w:spacing w:val="0"/>
          <w:kern w:val="0"/>
          <w:sz w:val="21"/>
          <w:szCs w:val="21"/>
        </w:rPr>
        <w:t>1.</w:t>
      </w:r>
      <w:r w:rsidR="00D02C6C" w:rsidRPr="00D02C6C">
        <w:rPr>
          <w:rFonts w:ascii="Myriad Pro" w:eastAsiaTheme="minorHAnsi" w:hAnsi="Myriad Pro" w:cstheme="minorBidi"/>
          <w:b w:val="0"/>
          <w:spacing w:val="0"/>
          <w:kern w:val="0"/>
          <w:sz w:val="21"/>
          <w:szCs w:val="21"/>
        </w:rPr>
        <w:t>502</w:t>
      </w:r>
      <w:r w:rsidR="006B69DC" w:rsidRPr="001329A0">
        <w:rPr>
          <w:rFonts w:ascii="Myriad Pro" w:eastAsiaTheme="minorHAnsi" w:hAnsi="Myriad Pro" w:cstheme="minorBidi"/>
          <w:b w:val="0"/>
          <w:spacing w:val="0"/>
          <w:kern w:val="0"/>
          <w:sz w:val="21"/>
          <w:szCs w:val="21"/>
        </w:rPr>
        <w:t xml:space="preserve"> por cliente, cifra que represent</w:t>
      </w:r>
      <w:r w:rsidR="0092487F" w:rsidRPr="001329A0">
        <w:rPr>
          <w:rFonts w:ascii="Myriad Pro" w:eastAsiaTheme="minorHAnsi" w:hAnsi="Myriad Pro" w:cstheme="minorBidi"/>
          <w:b w:val="0"/>
          <w:spacing w:val="0"/>
          <w:kern w:val="0"/>
          <w:sz w:val="21"/>
          <w:szCs w:val="21"/>
        </w:rPr>
        <w:t>ó</w:t>
      </w:r>
      <w:r w:rsidR="006B69DC" w:rsidRPr="001329A0">
        <w:rPr>
          <w:rFonts w:ascii="Myriad Pro" w:eastAsiaTheme="minorHAnsi" w:hAnsi="Myriad Pro" w:cstheme="minorBidi"/>
          <w:b w:val="0"/>
          <w:spacing w:val="0"/>
          <w:kern w:val="0"/>
          <w:sz w:val="21"/>
          <w:szCs w:val="21"/>
        </w:rPr>
        <w:t xml:space="preserve"> </w:t>
      </w:r>
      <w:r w:rsidR="006B69DC" w:rsidRPr="00996EAF">
        <w:rPr>
          <w:rFonts w:ascii="Myriad Pro" w:eastAsiaTheme="minorHAnsi" w:hAnsi="Myriad Pro" w:cstheme="minorBidi"/>
          <w:b w:val="0"/>
          <w:spacing w:val="0"/>
          <w:kern w:val="0"/>
          <w:sz w:val="21"/>
          <w:szCs w:val="21"/>
        </w:rPr>
        <w:t>el 0,00</w:t>
      </w:r>
      <w:r w:rsidR="00996EAF" w:rsidRPr="00996EAF">
        <w:rPr>
          <w:rFonts w:ascii="Myriad Pro" w:eastAsiaTheme="minorHAnsi" w:hAnsi="Myriad Pro" w:cstheme="minorBidi"/>
          <w:b w:val="0"/>
          <w:spacing w:val="0"/>
          <w:kern w:val="0"/>
          <w:sz w:val="21"/>
          <w:szCs w:val="21"/>
        </w:rPr>
        <w:t>09</w:t>
      </w:r>
      <w:r w:rsidR="006B69DC" w:rsidRPr="001329A0">
        <w:rPr>
          <w:rFonts w:ascii="Myriad Pro" w:eastAsiaTheme="minorHAnsi" w:hAnsi="Myriad Pro" w:cstheme="minorBidi"/>
          <w:b w:val="0"/>
          <w:spacing w:val="0"/>
          <w:kern w:val="0"/>
          <w:sz w:val="21"/>
          <w:szCs w:val="21"/>
        </w:rPr>
        <w:t>% de su patrimonio.</w:t>
      </w:r>
      <w:r w:rsidR="00822FF2" w:rsidRPr="001329A0">
        <w:rPr>
          <w:rFonts w:ascii="Myriad Pro" w:eastAsiaTheme="minorHAnsi" w:hAnsi="Myriad Pro" w:cstheme="minorBidi"/>
          <w:b w:val="0"/>
          <w:spacing w:val="0"/>
          <w:kern w:val="0"/>
          <w:sz w:val="21"/>
          <w:szCs w:val="21"/>
        </w:rPr>
        <w:t xml:space="preserve"> </w:t>
      </w:r>
      <w:r w:rsidR="007351C9" w:rsidRPr="001329A0">
        <w:rPr>
          <w:rFonts w:ascii="Myriad Pro" w:eastAsiaTheme="minorHAnsi" w:hAnsi="Myriad Pro" w:cstheme="minorBidi"/>
          <w:b w:val="0"/>
          <w:spacing w:val="0"/>
          <w:kern w:val="0"/>
          <w:sz w:val="21"/>
          <w:szCs w:val="21"/>
        </w:rPr>
        <w:t xml:space="preserve">En cuanto a la concentración por empresas, se considera que presentan una adecuada diversificación ya que </w:t>
      </w:r>
      <w:r w:rsidR="00DF1F03" w:rsidRPr="001329A0">
        <w:rPr>
          <w:rFonts w:ascii="Myriad Pro" w:eastAsiaTheme="minorHAnsi" w:hAnsi="Myriad Pro" w:cstheme="minorBidi"/>
          <w:b w:val="0"/>
          <w:spacing w:val="0"/>
          <w:kern w:val="0"/>
          <w:sz w:val="21"/>
          <w:szCs w:val="21"/>
        </w:rPr>
        <w:t xml:space="preserve">no existe un agente de pago que concentre más del </w:t>
      </w:r>
      <w:r w:rsidR="00DF1F03" w:rsidRPr="00F776FC">
        <w:rPr>
          <w:rFonts w:ascii="Myriad Pro" w:eastAsiaTheme="minorHAnsi" w:hAnsi="Myriad Pro" w:cstheme="minorBidi"/>
          <w:b w:val="0"/>
          <w:spacing w:val="0"/>
          <w:kern w:val="0"/>
          <w:sz w:val="21"/>
          <w:szCs w:val="21"/>
        </w:rPr>
        <w:t>1</w:t>
      </w:r>
      <w:r w:rsidR="00DF1F03" w:rsidRPr="001329A0">
        <w:rPr>
          <w:rFonts w:ascii="Myriad Pro" w:eastAsiaTheme="minorHAnsi" w:hAnsi="Myriad Pro" w:cstheme="minorBidi"/>
          <w:b w:val="0"/>
          <w:spacing w:val="0"/>
          <w:kern w:val="0"/>
          <w:sz w:val="21"/>
          <w:szCs w:val="21"/>
        </w:rPr>
        <w:t>% del patrimonio de la compañía</w:t>
      </w:r>
      <w:r w:rsidR="007351C9" w:rsidRPr="001329A0">
        <w:rPr>
          <w:rFonts w:ascii="Myriad Pro" w:eastAsiaTheme="minorHAnsi" w:hAnsi="Myriad Pro" w:cstheme="minorBidi"/>
          <w:b w:val="0"/>
          <w:spacing w:val="0"/>
          <w:kern w:val="0"/>
          <w:sz w:val="21"/>
          <w:szCs w:val="21"/>
        </w:rPr>
        <w:t>.</w:t>
      </w:r>
    </w:p>
    <w:p w14:paraId="611550C8" w14:textId="1F4F3B11" w:rsidR="00DF68AF" w:rsidRPr="001329A0" w:rsidRDefault="00B612E8" w:rsidP="006401C6">
      <w:pPr>
        <w:pStyle w:val="Ttulo"/>
        <w:spacing w:after="120" w:line="240" w:lineRule="auto"/>
        <w:contextualSpacing w:val="0"/>
        <w:jc w:val="both"/>
        <w:rPr>
          <w:rFonts w:ascii="Myriad Pro" w:eastAsiaTheme="minorHAnsi" w:hAnsi="Myriad Pro" w:cstheme="minorBidi"/>
          <w:b w:val="0"/>
          <w:spacing w:val="0"/>
          <w:kern w:val="0"/>
          <w:sz w:val="21"/>
          <w:szCs w:val="21"/>
        </w:rPr>
      </w:pPr>
      <w:r w:rsidRPr="001329A0">
        <w:rPr>
          <w:rFonts w:ascii="Myriad Pro" w:hAnsi="Myriad Pro"/>
          <w:sz w:val="21"/>
          <w:szCs w:val="21"/>
        </w:rPr>
        <w:t>Liderazgo dentro de la industria</w:t>
      </w:r>
      <w:r w:rsidR="00DF68AF" w:rsidRPr="001329A0">
        <w:rPr>
          <w:rFonts w:ascii="Myriad Pro" w:hAnsi="Myriad Pro"/>
          <w:sz w:val="21"/>
          <w:szCs w:val="21"/>
        </w:rPr>
        <w:t xml:space="preserve">: </w:t>
      </w:r>
      <w:r w:rsidR="004C0C29" w:rsidRPr="001329A0">
        <w:rPr>
          <w:rFonts w:ascii="Myriad Pro" w:eastAsiaTheme="minorHAnsi" w:hAnsi="Myriad Pro" w:cstheme="minorBidi"/>
          <w:spacing w:val="0"/>
          <w:kern w:val="0"/>
          <w:sz w:val="21"/>
          <w:szCs w:val="21"/>
        </w:rPr>
        <w:t>C</w:t>
      </w:r>
      <w:r w:rsidR="003A70A7" w:rsidRPr="001329A0">
        <w:rPr>
          <w:rFonts w:ascii="Myriad Pro" w:eastAsiaTheme="minorHAnsi" w:hAnsi="Myriad Pro" w:cstheme="minorBidi"/>
          <w:spacing w:val="0"/>
          <w:kern w:val="0"/>
          <w:sz w:val="21"/>
          <w:szCs w:val="21"/>
        </w:rPr>
        <w:t>C</w:t>
      </w:r>
      <w:r w:rsidR="004C0C29" w:rsidRPr="001329A0">
        <w:rPr>
          <w:rFonts w:ascii="Myriad Pro" w:eastAsiaTheme="minorHAnsi" w:hAnsi="Myriad Pro" w:cstheme="minorBidi"/>
          <w:spacing w:val="0"/>
          <w:kern w:val="0"/>
          <w:sz w:val="21"/>
          <w:szCs w:val="21"/>
        </w:rPr>
        <w:t>AF La Araucana</w:t>
      </w:r>
      <w:r w:rsidR="004C0C29" w:rsidRPr="001329A0">
        <w:rPr>
          <w:rFonts w:ascii="Myriad Pro" w:eastAsiaTheme="minorHAnsi" w:hAnsi="Myriad Pro" w:cstheme="minorBidi"/>
          <w:b w:val="0"/>
          <w:spacing w:val="0"/>
          <w:kern w:val="0"/>
          <w:sz w:val="21"/>
          <w:szCs w:val="21"/>
        </w:rPr>
        <w:t xml:space="preserve"> se posiciona como la segunda entidad de la industria </w:t>
      </w:r>
      <w:r w:rsidR="00E40AFA" w:rsidRPr="001329A0">
        <w:rPr>
          <w:rFonts w:ascii="Myriad Pro" w:eastAsiaTheme="minorHAnsi" w:hAnsi="Myriad Pro" w:cstheme="minorBidi"/>
          <w:b w:val="0"/>
          <w:spacing w:val="0"/>
          <w:kern w:val="0"/>
          <w:sz w:val="21"/>
          <w:szCs w:val="21"/>
        </w:rPr>
        <w:t xml:space="preserve">en </w:t>
      </w:r>
      <w:r w:rsidR="004C0C29" w:rsidRPr="001329A0">
        <w:rPr>
          <w:rFonts w:ascii="Myriad Pro" w:eastAsiaTheme="minorHAnsi" w:hAnsi="Myriad Pro" w:cstheme="minorBidi"/>
          <w:b w:val="0"/>
          <w:spacing w:val="0"/>
          <w:kern w:val="0"/>
          <w:sz w:val="21"/>
          <w:szCs w:val="21"/>
        </w:rPr>
        <w:t>número de afiliados. A marzo de 202</w:t>
      </w:r>
      <w:r w:rsidR="00BD1BEF">
        <w:rPr>
          <w:rFonts w:ascii="Myriad Pro" w:eastAsiaTheme="minorHAnsi" w:hAnsi="Myriad Pro" w:cstheme="minorBidi"/>
          <w:b w:val="0"/>
          <w:spacing w:val="0"/>
          <w:kern w:val="0"/>
          <w:sz w:val="21"/>
          <w:szCs w:val="21"/>
        </w:rPr>
        <w:t>2</w:t>
      </w:r>
      <w:r w:rsidR="004C0C29" w:rsidRPr="001329A0">
        <w:rPr>
          <w:rFonts w:ascii="Myriad Pro" w:eastAsiaTheme="minorHAnsi" w:hAnsi="Myriad Pro" w:cstheme="minorBidi"/>
          <w:b w:val="0"/>
          <w:spacing w:val="0"/>
          <w:kern w:val="0"/>
          <w:sz w:val="21"/>
          <w:szCs w:val="21"/>
        </w:rPr>
        <w:t xml:space="preserve">, el número de afiliados </w:t>
      </w:r>
      <w:r w:rsidR="006B492C" w:rsidRPr="001329A0">
        <w:rPr>
          <w:rFonts w:ascii="Myriad Pro" w:eastAsiaTheme="minorHAnsi" w:hAnsi="Myriad Pro" w:cstheme="minorBidi"/>
          <w:b w:val="0"/>
          <w:spacing w:val="0"/>
          <w:kern w:val="0"/>
          <w:sz w:val="21"/>
          <w:szCs w:val="21"/>
        </w:rPr>
        <w:t>ascendió</w:t>
      </w:r>
      <w:r w:rsidR="004C0C29" w:rsidRPr="001329A0">
        <w:rPr>
          <w:rFonts w:ascii="Myriad Pro" w:eastAsiaTheme="minorHAnsi" w:hAnsi="Myriad Pro" w:cstheme="minorBidi"/>
          <w:b w:val="0"/>
          <w:spacing w:val="0"/>
          <w:kern w:val="0"/>
          <w:sz w:val="21"/>
          <w:szCs w:val="21"/>
        </w:rPr>
        <w:t xml:space="preserve"> a 1,</w:t>
      </w:r>
      <w:r w:rsidR="00464A20">
        <w:rPr>
          <w:rFonts w:ascii="Myriad Pro" w:eastAsiaTheme="minorHAnsi" w:hAnsi="Myriad Pro" w:cstheme="minorBidi"/>
          <w:b w:val="0"/>
          <w:spacing w:val="0"/>
          <w:kern w:val="0"/>
          <w:sz w:val="21"/>
          <w:szCs w:val="21"/>
        </w:rPr>
        <w:t>4</w:t>
      </w:r>
      <w:r w:rsidR="004C0C29" w:rsidRPr="001329A0">
        <w:rPr>
          <w:rFonts w:ascii="Myriad Pro" w:eastAsiaTheme="minorHAnsi" w:hAnsi="Myriad Pro" w:cstheme="minorBidi"/>
          <w:b w:val="0"/>
          <w:spacing w:val="0"/>
          <w:kern w:val="0"/>
          <w:sz w:val="21"/>
          <w:szCs w:val="21"/>
        </w:rPr>
        <w:t xml:space="preserve"> millones, siendo el 19,</w:t>
      </w:r>
      <w:r w:rsidR="00464A20">
        <w:rPr>
          <w:rFonts w:ascii="Myriad Pro" w:eastAsiaTheme="minorHAnsi" w:hAnsi="Myriad Pro" w:cstheme="minorBidi"/>
          <w:b w:val="0"/>
          <w:spacing w:val="0"/>
          <w:kern w:val="0"/>
          <w:sz w:val="21"/>
          <w:szCs w:val="21"/>
        </w:rPr>
        <w:t>3</w:t>
      </w:r>
      <w:r w:rsidR="004C0C29" w:rsidRPr="001329A0">
        <w:rPr>
          <w:rFonts w:ascii="Myriad Pro" w:eastAsiaTheme="minorHAnsi" w:hAnsi="Myriad Pro" w:cstheme="minorBidi"/>
          <w:b w:val="0"/>
          <w:spacing w:val="0"/>
          <w:kern w:val="0"/>
          <w:sz w:val="21"/>
          <w:szCs w:val="21"/>
        </w:rPr>
        <w:t>% del mercado</w:t>
      </w:r>
      <w:r w:rsidR="00217F2C" w:rsidRPr="001329A0">
        <w:rPr>
          <w:rFonts w:ascii="Myriad Pro" w:eastAsiaTheme="minorHAnsi" w:hAnsi="Myriad Pro" w:cstheme="minorBidi"/>
          <w:b w:val="0"/>
          <w:spacing w:val="0"/>
          <w:kern w:val="0"/>
          <w:sz w:val="21"/>
          <w:szCs w:val="21"/>
        </w:rPr>
        <w:t xml:space="preserve"> de las cajas</w:t>
      </w:r>
      <w:r w:rsidR="004C0C29" w:rsidRPr="001329A0">
        <w:rPr>
          <w:rFonts w:ascii="Myriad Pro" w:eastAsiaTheme="minorHAnsi" w:hAnsi="Myriad Pro" w:cstheme="minorBidi"/>
          <w:b w:val="0"/>
          <w:spacing w:val="0"/>
          <w:kern w:val="0"/>
          <w:sz w:val="21"/>
          <w:szCs w:val="21"/>
        </w:rPr>
        <w:t>. No obstante, mantiene una distancia no menor respecto al líder.</w:t>
      </w:r>
      <w:r w:rsidR="006B492C" w:rsidRPr="001329A0">
        <w:rPr>
          <w:rFonts w:ascii="Myriad Pro" w:eastAsiaTheme="minorHAnsi" w:hAnsi="Myriad Pro" w:cstheme="minorBidi"/>
          <w:b w:val="0"/>
          <w:spacing w:val="0"/>
          <w:kern w:val="0"/>
          <w:sz w:val="21"/>
          <w:szCs w:val="21"/>
        </w:rPr>
        <w:t xml:space="preserve"> Adicionalmente, en cuanto a colocaciones, los créditos otorgados por la institución representaron el 1</w:t>
      </w:r>
      <w:r w:rsidR="004E4F3F">
        <w:rPr>
          <w:rFonts w:ascii="Myriad Pro" w:eastAsiaTheme="minorHAnsi" w:hAnsi="Myriad Pro" w:cstheme="minorBidi"/>
          <w:b w:val="0"/>
          <w:spacing w:val="0"/>
          <w:kern w:val="0"/>
          <w:sz w:val="21"/>
          <w:szCs w:val="21"/>
        </w:rPr>
        <w:t>2,1</w:t>
      </w:r>
      <w:r w:rsidR="006B492C" w:rsidRPr="001329A0">
        <w:rPr>
          <w:rFonts w:ascii="Myriad Pro" w:eastAsiaTheme="minorHAnsi" w:hAnsi="Myriad Pro" w:cstheme="minorBidi"/>
          <w:b w:val="0"/>
          <w:spacing w:val="0"/>
          <w:kern w:val="0"/>
          <w:sz w:val="21"/>
          <w:szCs w:val="21"/>
        </w:rPr>
        <w:t>% de la industria.</w:t>
      </w:r>
    </w:p>
    <w:p w14:paraId="58F7F962" w14:textId="7889A1E8" w:rsidR="0059461E" w:rsidRPr="001329A0" w:rsidRDefault="00C868D5" w:rsidP="006401C6">
      <w:pPr>
        <w:spacing w:after="120"/>
        <w:jc w:val="both"/>
        <w:rPr>
          <w:szCs w:val="21"/>
        </w:rPr>
      </w:pPr>
      <w:r w:rsidRPr="00313F47">
        <w:rPr>
          <w:rFonts w:eastAsiaTheme="majorEastAsia" w:cstheme="majorBidi"/>
          <w:b/>
          <w:spacing w:val="-10"/>
          <w:kern w:val="28"/>
          <w:szCs w:val="21"/>
        </w:rPr>
        <w:t>Cartera con adecuado comportamiento</w:t>
      </w:r>
      <w:r w:rsidR="00DF68AF" w:rsidRPr="00313F47">
        <w:rPr>
          <w:rFonts w:eastAsiaTheme="majorEastAsia" w:cstheme="majorBidi"/>
          <w:b/>
          <w:spacing w:val="-10"/>
          <w:kern w:val="28"/>
          <w:szCs w:val="21"/>
        </w:rPr>
        <w:t>:</w:t>
      </w:r>
      <w:r w:rsidR="009C6865" w:rsidRPr="00313F47">
        <w:rPr>
          <w:rFonts w:eastAsiaTheme="majorEastAsia" w:cstheme="majorBidi"/>
          <w:b/>
          <w:spacing w:val="-10"/>
          <w:kern w:val="28"/>
          <w:szCs w:val="21"/>
        </w:rPr>
        <w:t xml:space="preserve"> </w:t>
      </w:r>
      <w:r w:rsidR="00E73BD6" w:rsidRPr="00313F47">
        <w:rPr>
          <w:szCs w:val="21"/>
        </w:rPr>
        <w:t>Se considera que las colocaciones</w:t>
      </w:r>
      <w:r w:rsidR="00420D2F" w:rsidRPr="00313F47">
        <w:rPr>
          <w:rStyle w:val="Refdenotaalpie"/>
          <w:szCs w:val="21"/>
        </w:rPr>
        <w:footnoteReference w:id="12"/>
      </w:r>
      <w:r w:rsidR="00E73BD6" w:rsidRPr="00313F47">
        <w:rPr>
          <w:szCs w:val="21"/>
        </w:rPr>
        <w:t xml:space="preserve"> mantuvieron un comportamiento </w:t>
      </w:r>
      <w:r w:rsidR="009C6865" w:rsidRPr="00313F47">
        <w:rPr>
          <w:szCs w:val="21"/>
        </w:rPr>
        <w:t xml:space="preserve">estable entre </w:t>
      </w:r>
      <w:r w:rsidR="00F476F8" w:rsidRPr="00313F47">
        <w:rPr>
          <w:szCs w:val="21"/>
        </w:rPr>
        <w:t xml:space="preserve">diciembre </w:t>
      </w:r>
      <w:r w:rsidR="009C6865" w:rsidRPr="00313F47">
        <w:rPr>
          <w:szCs w:val="21"/>
        </w:rPr>
        <w:t>2016 ($</w:t>
      </w:r>
      <w:r w:rsidR="001D303E" w:rsidRPr="00313F47">
        <w:rPr>
          <w:szCs w:val="21"/>
        </w:rPr>
        <w:t xml:space="preserve"> </w:t>
      </w:r>
      <w:r w:rsidR="00096BA4" w:rsidRPr="00313F47">
        <w:rPr>
          <w:szCs w:val="21"/>
        </w:rPr>
        <w:t xml:space="preserve">336.123 </w:t>
      </w:r>
      <w:r w:rsidR="009C6865" w:rsidRPr="00313F47">
        <w:rPr>
          <w:szCs w:val="21"/>
        </w:rPr>
        <w:t xml:space="preserve">millones) y </w:t>
      </w:r>
      <w:r w:rsidR="00F476F8" w:rsidRPr="00313F47">
        <w:rPr>
          <w:szCs w:val="21"/>
        </w:rPr>
        <w:t>marzo 2020</w:t>
      </w:r>
      <w:r w:rsidR="009C6865" w:rsidRPr="00313F47">
        <w:rPr>
          <w:szCs w:val="21"/>
        </w:rPr>
        <w:t xml:space="preserve"> ($</w:t>
      </w:r>
      <w:r w:rsidR="00255A5E" w:rsidRPr="00313F47">
        <w:rPr>
          <w:szCs w:val="21"/>
        </w:rPr>
        <w:t xml:space="preserve"> </w:t>
      </w:r>
      <w:r w:rsidR="00DB553A" w:rsidRPr="00313F47">
        <w:rPr>
          <w:szCs w:val="21"/>
        </w:rPr>
        <w:t>336.</w:t>
      </w:r>
      <w:r w:rsidR="00B2714B" w:rsidRPr="00313F47">
        <w:rPr>
          <w:szCs w:val="21"/>
        </w:rPr>
        <w:t>114</w:t>
      </w:r>
      <w:r w:rsidR="00DB553A" w:rsidRPr="00313F47">
        <w:rPr>
          <w:szCs w:val="21"/>
        </w:rPr>
        <w:t xml:space="preserve"> </w:t>
      </w:r>
      <w:r w:rsidR="009C6865" w:rsidRPr="00313F47">
        <w:rPr>
          <w:szCs w:val="21"/>
        </w:rPr>
        <w:t>millones)</w:t>
      </w:r>
      <w:r w:rsidR="002A3AD8" w:rsidRPr="00313F47">
        <w:rPr>
          <w:szCs w:val="21"/>
        </w:rPr>
        <w:t xml:space="preserve"> considerand</w:t>
      </w:r>
      <w:r w:rsidR="00596AA3" w:rsidRPr="00313F47">
        <w:rPr>
          <w:szCs w:val="21"/>
        </w:rPr>
        <w:t xml:space="preserve">o además que </w:t>
      </w:r>
      <w:r w:rsidR="00EA1001" w:rsidRPr="00313F47">
        <w:rPr>
          <w:b/>
          <w:szCs w:val="21"/>
        </w:rPr>
        <w:t xml:space="preserve">CCAF La Araucana </w:t>
      </w:r>
      <w:r w:rsidR="00EA1001" w:rsidRPr="00313F47">
        <w:rPr>
          <w:szCs w:val="21"/>
        </w:rPr>
        <w:t>fue</w:t>
      </w:r>
      <w:r w:rsidR="00596AA3" w:rsidRPr="00313F47">
        <w:rPr>
          <w:szCs w:val="21"/>
        </w:rPr>
        <w:t xml:space="preserve"> la caja con menor índice de variación en</w:t>
      </w:r>
      <w:r w:rsidR="006E7DB1" w:rsidRPr="00313F47">
        <w:rPr>
          <w:szCs w:val="21"/>
        </w:rPr>
        <w:t xml:space="preserve"> el nivel de colocaciones durante el mismo</w:t>
      </w:r>
      <w:r w:rsidR="00596AA3" w:rsidRPr="00313F47">
        <w:rPr>
          <w:szCs w:val="21"/>
        </w:rPr>
        <w:t xml:space="preserve"> periodo</w:t>
      </w:r>
      <w:r w:rsidR="00080A46" w:rsidRPr="00313F47">
        <w:rPr>
          <w:szCs w:val="21"/>
        </w:rPr>
        <w:t xml:space="preserve"> (1% en comparación al </w:t>
      </w:r>
      <w:r w:rsidR="00F37BA7" w:rsidRPr="00313F47">
        <w:rPr>
          <w:szCs w:val="21"/>
        </w:rPr>
        <w:t>7,1% promedio de sus pares)</w:t>
      </w:r>
      <w:r w:rsidR="00B72529" w:rsidRPr="00313F47">
        <w:rPr>
          <w:szCs w:val="21"/>
        </w:rPr>
        <w:t>.</w:t>
      </w:r>
      <w:r w:rsidR="000C4A80" w:rsidRPr="00313F47">
        <w:rPr>
          <w:szCs w:val="21"/>
        </w:rPr>
        <w:t xml:space="preserve"> </w:t>
      </w:r>
      <w:r w:rsidR="00B72529" w:rsidRPr="00313F47">
        <w:rPr>
          <w:szCs w:val="21"/>
        </w:rPr>
        <w:t>N</w:t>
      </w:r>
      <w:r w:rsidR="000C4A80" w:rsidRPr="00313F47">
        <w:rPr>
          <w:szCs w:val="21"/>
        </w:rPr>
        <w:t xml:space="preserve">o </w:t>
      </w:r>
      <w:r w:rsidR="00F4139E" w:rsidRPr="00313F47">
        <w:rPr>
          <w:szCs w:val="21"/>
        </w:rPr>
        <w:t>obstante,</w:t>
      </w:r>
      <w:r w:rsidR="000C4A80" w:rsidRPr="00313F47">
        <w:rPr>
          <w:szCs w:val="21"/>
        </w:rPr>
        <w:t xml:space="preserve"> </w:t>
      </w:r>
      <w:r w:rsidR="000C4A80" w:rsidRPr="00313F47">
        <w:rPr>
          <w:szCs w:val="21"/>
        </w:rPr>
        <w:lastRenderedPageBreak/>
        <w:t>la</w:t>
      </w:r>
      <w:r w:rsidR="0059461E" w:rsidRPr="00313F47">
        <w:rPr>
          <w:szCs w:val="21"/>
        </w:rPr>
        <w:t xml:space="preserve"> baja posterior</w:t>
      </w:r>
      <w:r w:rsidR="002B7FBC" w:rsidRPr="00313F47">
        <w:rPr>
          <w:szCs w:val="21"/>
        </w:rPr>
        <w:t xml:space="preserve"> en la cartera</w:t>
      </w:r>
      <w:r w:rsidR="0059461E" w:rsidRPr="00313F47">
        <w:rPr>
          <w:szCs w:val="21"/>
        </w:rPr>
        <w:t xml:space="preserve"> como consecuencia de la</w:t>
      </w:r>
      <w:r w:rsidR="000C4A80" w:rsidRPr="00313F47">
        <w:rPr>
          <w:szCs w:val="21"/>
        </w:rPr>
        <w:t xml:space="preserve"> crisis provocada por la pandemia</w:t>
      </w:r>
      <w:r w:rsidR="0059461E" w:rsidRPr="00313F47">
        <w:rPr>
          <w:szCs w:val="21"/>
        </w:rPr>
        <w:t xml:space="preserve">, </w:t>
      </w:r>
      <w:r w:rsidR="000C4A80" w:rsidRPr="00313F47">
        <w:rPr>
          <w:szCs w:val="21"/>
        </w:rPr>
        <w:t>que</w:t>
      </w:r>
      <w:r w:rsidR="006E7DB1" w:rsidRPr="00313F47">
        <w:rPr>
          <w:szCs w:val="21"/>
        </w:rPr>
        <w:t xml:space="preserve"> </w:t>
      </w:r>
      <w:r w:rsidR="000C4A80" w:rsidRPr="00313F47">
        <w:rPr>
          <w:szCs w:val="21"/>
        </w:rPr>
        <w:t xml:space="preserve">se </w:t>
      </w:r>
      <w:r w:rsidR="00F4139E" w:rsidRPr="00313F47">
        <w:rPr>
          <w:szCs w:val="21"/>
        </w:rPr>
        <w:t>asume como</w:t>
      </w:r>
      <w:r w:rsidR="000C4A80" w:rsidRPr="00313F47">
        <w:rPr>
          <w:szCs w:val="21"/>
        </w:rPr>
        <w:t xml:space="preserve"> un evento </w:t>
      </w:r>
      <w:r w:rsidR="007A43F4" w:rsidRPr="00313F47">
        <w:rPr>
          <w:szCs w:val="21"/>
        </w:rPr>
        <w:t>aislado</w:t>
      </w:r>
      <w:r w:rsidR="00F91D37" w:rsidRPr="00313F47">
        <w:rPr>
          <w:szCs w:val="21"/>
        </w:rPr>
        <w:t>,</w:t>
      </w:r>
      <w:r w:rsidR="00886005" w:rsidRPr="00313F47">
        <w:rPr>
          <w:szCs w:val="21"/>
        </w:rPr>
        <w:t xml:space="preserve"> ya ha comenzado a recuperarse</w:t>
      </w:r>
      <w:r w:rsidR="007A6D95" w:rsidRPr="00313F47">
        <w:rPr>
          <w:szCs w:val="21"/>
        </w:rPr>
        <w:t>,</w:t>
      </w:r>
      <w:r w:rsidR="00886005" w:rsidRPr="00313F47">
        <w:rPr>
          <w:szCs w:val="21"/>
        </w:rPr>
        <w:t xml:space="preserve"> </w:t>
      </w:r>
      <w:r w:rsidR="00782CB1" w:rsidRPr="00313F47">
        <w:rPr>
          <w:szCs w:val="21"/>
        </w:rPr>
        <w:t>alcanzado a marzo 2022 los 280</w:t>
      </w:r>
      <w:r w:rsidR="00313F47" w:rsidRPr="00313F47">
        <w:rPr>
          <w:szCs w:val="21"/>
        </w:rPr>
        <w:t>.486</w:t>
      </w:r>
      <w:r w:rsidR="00513B93" w:rsidRPr="00313F47">
        <w:rPr>
          <w:szCs w:val="21"/>
        </w:rPr>
        <w:t>.</w:t>
      </w:r>
      <w:r w:rsidR="00513B93" w:rsidRPr="001329A0">
        <w:rPr>
          <w:szCs w:val="21"/>
        </w:rPr>
        <w:t xml:space="preserve"> </w:t>
      </w:r>
    </w:p>
    <w:p w14:paraId="70030E66" w14:textId="2CB837B4" w:rsidR="00CA40BC" w:rsidRPr="001329A0" w:rsidRDefault="00513B93" w:rsidP="006401C6">
      <w:pPr>
        <w:spacing w:after="120"/>
        <w:jc w:val="both"/>
        <w:rPr>
          <w:szCs w:val="21"/>
        </w:rPr>
      </w:pPr>
      <w:r w:rsidRPr="001329A0">
        <w:rPr>
          <w:szCs w:val="21"/>
        </w:rPr>
        <w:t>Adicionalmente, la compañía posee un nivel de</w:t>
      </w:r>
      <w:r w:rsidR="009C6865" w:rsidRPr="001329A0">
        <w:rPr>
          <w:szCs w:val="21"/>
        </w:rPr>
        <w:t xml:space="preserve"> mora </w:t>
      </w:r>
      <w:r w:rsidRPr="001329A0">
        <w:rPr>
          <w:szCs w:val="21"/>
        </w:rPr>
        <w:t xml:space="preserve">que en el </w:t>
      </w:r>
      <w:r w:rsidR="009738CD" w:rsidRPr="001329A0">
        <w:rPr>
          <w:szCs w:val="21"/>
        </w:rPr>
        <w:t>plazo</w:t>
      </w:r>
      <w:r w:rsidRPr="001329A0">
        <w:rPr>
          <w:szCs w:val="21"/>
        </w:rPr>
        <w:t xml:space="preserve"> de evaluación ha tendido a la baja</w:t>
      </w:r>
      <w:r w:rsidR="00AC74BA" w:rsidRPr="001329A0">
        <w:rPr>
          <w:szCs w:val="21"/>
        </w:rPr>
        <w:t xml:space="preserve">, considerando que </w:t>
      </w:r>
      <w:r w:rsidR="002D40DF" w:rsidRPr="001329A0">
        <w:rPr>
          <w:szCs w:val="21"/>
        </w:rPr>
        <w:t>el indicador de</w:t>
      </w:r>
      <w:r w:rsidR="009C6865" w:rsidRPr="001329A0">
        <w:rPr>
          <w:szCs w:val="21"/>
        </w:rPr>
        <w:t xml:space="preserve"> mora relevante</w:t>
      </w:r>
      <w:r w:rsidR="009C6865" w:rsidRPr="001329A0">
        <w:rPr>
          <w:szCs w:val="21"/>
          <w:vertAlign w:val="superscript"/>
        </w:rPr>
        <w:footnoteReference w:id="13"/>
      </w:r>
      <w:r w:rsidR="009C6865" w:rsidRPr="001329A0">
        <w:rPr>
          <w:szCs w:val="21"/>
        </w:rPr>
        <w:t xml:space="preserve"> </w:t>
      </w:r>
      <w:r w:rsidR="001650D6">
        <w:rPr>
          <w:szCs w:val="21"/>
        </w:rPr>
        <w:t>sobre</w:t>
      </w:r>
      <w:r w:rsidR="009C6865" w:rsidRPr="001329A0">
        <w:rPr>
          <w:szCs w:val="21"/>
        </w:rPr>
        <w:t xml:space="preserve"> patrimonio se situó en promedio en </w:t>
      </w:r>
      <w:r w:rsidR="00E46894" w:rsidRPr="001329A0">
        <w:rPr>
          <w:szCs w:val="21"/>
        </w:rPr>
        <w:t>3</w:t>
      </w:r>
      <w:r w:rsidR="00955064">
        <w:rPr>
          <w:szCs w:val="21"/>
        </w:rPr>
        <w:t>3</w:t>
      </w:r>
      <w:r w:rsidR="00E46894" w:rsidRPr="001329A0">
        <w:rPr>
          <w:szCs w:val="21"/>
        </w:rPr>
        <w:t>,</w:t>
      </w:r>
      <w:r w:rsidR="00955064">
        <w:rPr>
          <w:szCs w:val="21"/>
        </w:rPr>
        <w:t>0</w:t>
      </w:r>
      <w:r w:rsidR="009C6865" w:rsidRPr="001329A0">
        <w:rPr>
          <w:szCs w:val="21"/>
        </w:rPr>
        <w:t>% entre 201</w:t>
      </w:r>
      <w:r w:rsidR="00955064">
        <w:rPr>
          <w:szCs w:val="21"/>
        </w:rPr>
        <w:t>7</w:t>
      </w:r>
      <w:r w:rsidR="009C6865" w:rsidRPr="001329A0">
        <w:rPr>
          <w:szCs w:val="21"/>
        </w:rPr>
        <w:t xml:space="preserve"> y </w:t>
      </w:r>
      <w:r w:rsidR="00EE4F5D" w:rsidRPr="001329A0">
        <w:rPr>
          <w:szCs w:val="21"/>
        </w:rPr>
        <w:t>202</w:t>
      </w:r>
      <w:r w:rsidR="00955064">
        <w:rPr>
          <w:szCs w:val="21"/>
        </w:rPr>
        <w:t>1</w:t>
      </w:r>
      <w:r w:rsidR="00EE4F5D" w:rsidRPr="001329A0">
        <w:rPr>
          <w:szCs w:val="21"/>
        </w:rPr>
        <w:t xml:space="preserve">, </w:t>
      </w:r>
      <w:r w:rsidR="00CA40BC" w:rsidRPr="001329A0">
        <w:rPr>
          <w:szCs w:val="21"/>
        </w:rPr>
        <w:t>y a marzo de 202</w:t>
      </w:r>
      <w:r w:rsidR="00955064">
        <w:rPr>
          <w:szCs w:val="21"/>
        </w:rPr>
        <w:t>2</w:t>
      </w:r>
      <w:r w:rsidR="00CA40BC" w:rsidRPr="001329A0">
        <w:rPr>
          <w:szCs w:val="21"/>
        </w:rPr>
        <w:t xml:space="preserve"> se </w:t>
      </w:r>
      <w:r w:rsidR="00955064">
        <w:rPr>
          <w:szCs w:val="21"/>
        </w:rPr>
        <w:t>sitúa</w:t>
      </w:r>
      <w:r w:rsidR="00CA40BC" w:rsidRPr="001329A0">
        <w:rPr>
          <w:szCs w:val="21"/>
        </w:rPr>
        <w:t xml:space="preserve"> en un </w:t>
      </w:r>
      <w:r w:rsidR="00192810">
        <w:rPr>
          <w:szCs w:val="21"/>
        </w:rPr>
        <w:t>16,5</w:t>
      </w:r>
      <w:r w:rsidR="00CA40BC" w:rsidRPr="001329A0">
        <w:rPr>
          <w:szCs w:val="21"/>
        </w:rPr>
        <w:t>%.</w:t>
      </w:r>
    </w:p>
    <w:p w14:paraId="0964D943" w14:textId="77777777" w:rsidR="00B17C5D" w:rsidRPr="001329A0" w:rsidRDefault="001E32E2" w:rsidP="006401C6">
      <w:pPr>
        <w:pStyle w:val="Ttulo"/>
        <w:spacing w:after="120" w:line="240" w:lineRule="auto"/>
        <w:contextualSpacing w:val="0"/>
        <w:jc w:val="both"/>
        <w:rPr>
          <w:rFonts w:ascii="Myriad Pro" w:eastAsiaTheme="minorHAnsi" w:hAnsi="Myriad Pro" w:cstheme="minorBidi"/>
          <w:b w:val="0"/>
          <w:spacing w:val="0"/>
          <w:kern w:val="0"/>
          <w:sz w:val="21"/>
          <w:szCs w:val="21"/>
        </w:rPr>
      </w:pPr>
      <w:r w:rsidRPr="001329A0">
        <w:rPr>
          <w:rFonts w:ascii="Myriad Pro" w:hAnsi="Myriad Pro"/>
          <w:sz w:val="21"/>
          <w:szCs w:val="21"/>
        </w:rPr>
        <w:t>Bajo costo de recaudación</w:t>
      </w:r>
      <w:r w:rsidR="00DF68AF" w:rsidRPr="001329A0">
        <w:rPr>
          <w:rFonts w:ascii="Myriad Pro" w:hAnsi="Myriad Pro"/>
          <w:sz w:val="21"/>
          <w:szCs w:val="21"/>
        </w:rPr>
        <w:t xml:space="preserve">: </w:t>
      </w:r>
      <w:r w:rsidR="006C1F47" w:rsidRPr="001329A0">
        <w:rPr>
          <w:rFonts w:ascii="Myriad Pro" w:eastAsiaTheme="minorHAnsi" w:hAnsi="Myriad Pro" w:cstheme="minorBidi"/>
          <w:b w:val="0"/>
          <w:spacing w:val="0"/>
          <w:kern w:val="0"/>
          <w:sz w:val="21"/>
          <w:szCs w:val="21"/>
        </w:rPr>
        <w:t xml:space="preserve">El sistema de recaudación de los créditos (descuento por planilla) es de menor costo por cuanto reduce los esfuerzos personalizados a los deudores (avisos y diversidad de centros de pagos). </w:t>
      </w:r>
    </w:p>
    <w:p w14:paraId="262D154F" w14:textId="467B5F6D" w:rsidR="00DF68AF" w:rsidRPr="001329A0" w:rsidRDefault="00E02080" w:rsidP="006401C6">
      <w:pPr>
        <w:pStyle w:val="Ttulo"/>
        <w:spacing w:after="120" w:line="240" w:lineRule="auto"/>
        <w:contextualSpacing w:val="0"/>
        <w:jc w:val="both"/>
        <w:rPr>
          <w:rFonts w:ascii="Myriad Pro" w:eastAsiaTheme="minorHAnsi" w:hAnsi="Myriad Pro" w:cstheme="minorBidi"/>
          <w:b w:val="0"/>
          <w:spacing w:val="0"/>
          <w:kern w:val="0"/>
          <w:sz w:val="21"/>
          <w:szCs w:val="21"/>
        </w:rPr>
      </w:pPr>
      <w:r w:rsidRPr="001329A0">
        <w:rPr>
          <w:rFonts w:ascii="Myriad Pro" w:hAnsi="Myriad Pro"/>
          <w:sz w:val="21"/>
          <w:szCs w:val="21"/>
        </w:rPr>
        <w:t>Alto acceso a su segmento objetivo:</w:t>
      </w:r>
      <w:r w:rsidR="00DF68AF" w:rsidRPr="001329A0">
        <w:rPr>
          <w:rFonts w:ascii="Myriad Pro" w:hAnsi="Myriad Pro"/>
          <w:sz w:val="21"/>
          <w:szCs w:val="21"/>
        </w:rPr>
        <w:t xml:space="preserve"> </w:t>
      </w:r>
      <w:r w:rsidR="00844988" w:rsidRPr="001329A0">
        <w:rPr>
          <w:rFonts w:ascii="Myriad Pro" w:eastAsiaTheme="minorHAnsi" w:hAnsi="Myriad Pro" w:cstheme="minorBidi"/>
          <w:b w:val="0"/>
          <w:spacing w:val="0"/>
          <w:kern w:val="0"/>
          <w:sz w:val="21"/>
          <w:szCs w:val="21"/>
        </w:rPr>
        <w:t xml:space="preserve">La función comercial en el ámbito crediticio se ve favorecida por la facilidad de acceso a los trabajadores de las empresas adheridas, a los </w:t>
      </w:r>
      <w:r w:rsidR="003D7B85" w:rsidRPr="001329A0">
        <w:rPr>
          <w:rFonts w:ascii="Myriad Pro" w:eastAsiaTheme="minorHAnsi" w:hAnsi="Myriad Pro" w:cstheme="minorBidi"/>
          <w:b w:val="0"/>
          <w:spacing w:val="0"/>
          <w:kern w:val="0"/>
          <w:sz w:val="21"/>
          <w:szCs w:val="21"/>
        </w:rPr>
        <w:t>cuales además</w:t>
      </w:r>
      <w:r w:rsidR="00844988" w:rsidRPr="001329A0">
        <w:rPr>
          <w:rFonts w:ascii="Myriad Pro" w:eastAsiaTheme="minorHAnsi" w:hAnsi="Myriad Pro" w:cstheme="minorBidi"/>
          <w:b w:val="0"/>
          <w:spacing w:val="0"/>
          <w:kern w:val="0"/>
          <w:sz w:val="21"/>
          <w:szCs w:val="21"/>
        </w:rPr>
        <w:t xml:space="preserve"> se les conoce el nivel de sus ingresos y su antigüedad laboral. Asimismo, la relación de largo plazo con las empresas, le permite conocer o estimar la viabilidad financiera de estas últimas. </w:t>
      </w:r>
    </w:p>
    <w:p w14:paraId="582F7B35" w14:textId="3449BCA2" w:rsidR="00180D11" w:rsidRPr="001329A0" w:rsidRDefault="009522A5" w:rsidP="006401C6">
      <w:pPr>
        <w:pStyle w:val="Ttulo"/>
        <w:spacing w:after="120" w:line="240" w:lineRule="auto"/>
        <w:contextualSpacing w:val="0"/>
        <w:jc w:val="both"/>
        <w:rPr>
          <w:rFonts w:ascii="Myriad Pro" w:eastAsiaTheme="minorHAnsi" w:hAnsi="Myriad Pro" w:cstheme="minorBidi"/>
          <w:b w:val="0"/>
          <w:spacing w:val="0"/>
          <w:kern w:val="0"/>
          <w:sz w:val="21"/>
          <w:szCs w:val="21"/>
        </w:rPr>
      </w:pPr>
      <w:r w:rsidRPr="001329A0">
        <w:rPr>
          <w:rFonts w:ascii="Myriad Pro" w:hAnsi="Myriad Pro"/>
          <w:sz w:val="21"/>
          <w:szCs w:val="21"/>
        </w:rPr>
        <w:t xml:space="preserve">Ingresos de bajo riesgo: </w:t>
      </w:r>
      <w:r w:rsidR="00180D11" w:rsidRPr="001329A0">
        <w:rPr>
          <w:rFonts w:ascii="Myriad Pro" w:eastAsiaTheme="minorHAnsi" w:hAnsi="Myriad Pro" w:cstheme="minorBidi"/>
          <w:b w:val="0"/>
          <w:spacing w:val="0"/>
          <w:kern w:val="0"/>
          <w:sz w:val="21"/>
          <w:szCs w:val="21"/>
        </w:rPr>
        <w:t>En to</w:t>
      </w:r>
      <w:r w:rsidR="00180D11" w:rsidRPr="003338C8">
        <w:rPr>
          <w:rFonts w:ascii="Myriad Pro" w:eastAsiaTheme="minorHAnsi" w:hAnsi="Myriad Pro" w:cstheme="minorBidi"/>
          <w:b w:val="0"/>
          <w:spacing w:val="0"/>
          <w:kern w:val="0"/>
          <w:sz w:val="21"/>
          <w:szCs w:val="21"/>
        </w:rPr>
        <w:t>rno al 2</w:t>
      </w:r>
      <w:r w:rsidR="00AE11D9" w:rsidRPr="003338C8">
        <w:rPr>
          <w:rFonts w:ascii="Myriad Pro" w:eastAsiaTheme="minorHAnsi" w:hAnsi="Myriad Pro" w:cstheme="minorBidi"/>
          <w:b w:val="0"/>
          <w:spacing w:val="0"/>
          <w:kern w:val="0"/>
          <w:sz w:val="21"/>
          <w:szCs w:val="21"/>
        </w:rPr>
        <w:t>4,0</w:t>
      </w:r>
      <w:r w:rsidR="00180D11" w:rsidRPr="003338C8">
        <w:rPr>
          <w:rFonts w:ascii="Myriad Pro" w:eastAsiaTheme="minorHAnsi" w:hAnsi="Myriad Pro" w:cstheme="minorBidi"/>
          <w:b w:val="0"/>
          <w:spacing w:val="0"/>
          <w:kern w:val="0"/>
          <w:sz w:val="21"/>
          <w:szCs w:val="21"/>
        </w:rPr>
        <w:t xml:space="preserve">% de los ingresos operacionales de la corporación </w:t>
      </w:r>
      <w:r w:rsidR="00DE3F6D" w:rsidRPr="003338C8">
        <w:rPr>
          <w:rFonts w:ascii="Myriad Pro" w:eastAsiaTheme="minorHAnsi" w:hAnsi="Myriad Pro" w:cstheme="minorBidi"/>
          <w:b w:val="0"/>
          <w:spacing w:val="0"/>
          <w:kern w:val="0"/>
          <w:sz w:val="21"/>
          <w:szCs w:val="21"/>
        </w:rPr>
        <w:t xml:space="preserve">durante </w:t>
      </w:r>
      <w:r w:rsidR="00180D11" w:rsidRPr="003338C8">
        <w:rPr>
          <w:rFonts w:ascii="Myriad Pro" w:eastAsiaTheme="minorHAnsi" w:hAnsi="Myriad Pro" w:cstheme="minorBidi"/>
          <w:b w:val="0"/>
          <w:spacing w:val="0"/>
          <w:kern w:val="0"/>
          <w:sz w:val="21"/>
          <w:szCs w:val="21"/>
        </w:rPr>
        <w:t>202</w:t>
      </w:r>
      <w:r w:rsidR="00AE11D9" w:rsidRPr="003338C8">
        <w:rPr>
          <w:rFonts w:ascii="Myriad Pro" w:eastAsiaTheme="minorHAnsi" w:hAnsi="Myriad Pro" w:cstheme="minorBidi"/>
          <w:b w:val="0"/>
          <w:spacing w:val="0"/>
          <w:kern w:val="0"/>
          <w:sz w:val="21"/>
          <w:szCs w:val="21"/>
        </w:rPr>
        <w:t>1</w:t>
      </w:r>
      <w:r w:rsidR="00180D11" w:rsidRPr="003338C8">
        <w:rPr>
          <w:rFonts w:ascii="Myriad Pro" w:eastAsiaTheme="minorHAnsi" w:hAnsi="Myriad Pro" w:cstheme="minorBidi"/>
          <w:b w:val="0"/>
          <w:spacing w:val="0"/>
          <w:kern w:val="0"/>
          <w:sz w:val="21"/>
          <w:szCs w:val="21"/>
        </w:rPr>
        <w:t xml:space="preserve"> se origina</w:t>
      </w:r>
      <w:r w:rsidR="00DE3F6D" w:rsidRPr="003338C8">
        <w:rPr>
          <w:rFonts w:ascii="Myriad Pro" w:eastAsiaTheme="minorHAnsi" w:hAnsi="Myriad Pro" w:cstheme="minorBidi"/>
          <w:b w:val="0"/>
          <w:spacing w:val="0"/>
          <w:kern w:val="0"/>
          <w:sz w:val="21"/>
          <w:szCs w:val="21"/>
        </w:rPr>
        <w:t xml:space="preserve">ron </w:t>
      </w:r>
      <w:r w:rsidR="00180D11" w:rsidRPr="003338C8">
        <w:rPr>
          <w:rFonts w:ascii="Myriad Pro" w:eastAsiaTheme="minorHAnsi" w:hAnsi="Myriad Pro" w:cstheme="minorBidi"/>
          <w:b w:val="0"/>
          <w:spacing w:val="0"/>
          <w:kern w:val="0"/>
          <w:sz w:val="21"/>
          <w:szCs w:val="21"/>
        </w:rPr>
        <w:t xml:space="preserve">de otros ingresos que no están asociados a créditos sociales </w:t>
      </w:r>
      <w:r w:rsidR="00B80840" w:rsidRPr="003338C8">
        <w:rPr>
          <w:rFonts w:ascii="Myriad Pro" w:eastAsiaTheme="minorHAnsi" w:hAnsi="Myriad Pro" w:cstheme="minorBidi"/>
          <w:b w:val="0"/>
          <w:spacing w:val="0"/>
          <w:kern w:val="0"/>
          <w:sz w:val="21"/>
          <w:szCs w:val="21"/>
        </w:rPr>
        <w:t>y</w:t>
      </w:r>
      <w:r w:rsidR="00180D11" w:rsidRPr="003338C8">
        <w:rPr>
          <w:rFonts w:ascii="Myriad Pro" w:eastAsiaTheme="minorHAnsi" w:hAnsi="Myriad Pro" w:cstheme="minorBidi"/>
          <w:b w:val="0"/>
          <w:spacing w:val="0"/>
          <w:kern w:val="0"/>
          <w:sz w:val="21"/>
          <w:szCs w:val="21"/>
        </w:rPr>
        <w:t xml:space="preserve"> no presentan riesgos significativos para la institución </w:t>
      </w:r>
      <w:r w:rsidR="00B80840" w:rsidRPr="003338C8">
        <w:rPr>
          <w:rFonts w:ascii="Myriad Pro" w:eastAsiaTheme="minorHAnsi" w:hAnsi="Myriad Pro" w:cstheme="minorBidi"/>
          <w:b w:val="0"/>
          <w:spacing w:val="0"/>
          <w:kern w:val="0"/>
          <w:sz w:val="21"/>
          <w:szCs w:val="21"/>
        </w:rPr>
        <w:t xml:space="preserve">ya que se relacionan con la </w:t>
      </w:r>
      <w:r w:rsidR="00180D11" w:rsidRPr="003338C8">
        <w:rPr>
          <w:rFonts w:ascii="Myriad Pro" w:eastAsiaTheme="minorHAnsi" w:hAnsi="Myriad Pro" w:cstheme="minorBidi"/>
          <w:b w:val="0"/>
          <w:spacing w:val="0"/>
          <w:kern w:val="0"/>
          <w:sz w:val="21"/>
          <w:szCs w:val="21"/>
        </w:rPr>
        <w:t>administración de prestaciones sociales de cargo del Estado, pago de pensiones, recaudación de seguros y servicios y cotización de 1% de pensionados, entre otros.</w:t>
      </w:r>
      <w:r w:rsidR="00183BFC" w:rsidRPr="003338C8">
        <w:rPr>
          <w:rFonts w:ascii="Myriad Pro" w:eastAsiaTheme="minorHAnsi" w:hAnsi="Myriad Pro" w:cstheme="minorBidi"/>
          <w:b w:val="0"/>
          <w:spacing w:val="0"/>
          <w:kern w:val="0"/>
          <w:sz w:val="21"/>
          <w:szCs w:val="21"/>
        </w:rPr>
        <w:t xml:space="preserve"> Cabe mencionar</w:t>
      </w:r>
      <w:r w:rsidR="00CD69E8" w:rsidRPr="003338C8">
        <w:rPr>
          <w:rFonts w:ascii="Myriad Pro" w:eastAsiaTheme="minorHAnsi" w:hAnsi="Myriad Pro" w:cstheme="minorBidi"/>
          <w:b w:val="0"/>
          <w:spacing w:val="0"/>
          <w:kern w:val="0"/>
          <w:sz w:val="21"/>
          <w:szCs w:val="21"/>
        </w:rPr>
        <w:t>,</w:t>
      </w:r>
      <w:r w:rsidR="00183BFC" w:rsidRPr="003338C8">
        <w:rPr>
          <w:rFonts w:ascii="Myriad Pro" w:eastAsiaTheme="minorHAnsi" w:hAnsi="Myriad Pro" w:cstheme="minorBidi"/>
          <w:b w:val="0"/>
          <w:spacing w:val="0"/>
          <w:kern w:val="0"/>
          <w:sz w:val="21"/>
          <w:szCs w:val="21"/>
        </w:rPr>
        <w:t xml:space="preserve"> que</w:t>
      </w:r>
      <w:r w:rsidR="00DE3F6D" w:rsidRPr="003338C8">
        <w:rPr>
          <w:rFonts w:ascii="Myriad Pro" w:eastAsiaTheme="minorHAnsi" w:hAnsi="Myriad Pro" w:cstheme="minorBidi"/>
          <w:b w:val="0"/>
          <w:spacing w:val="0"/>
          <w:kern w:val="0"/>
          <w:sz w:val="21"/>
          <w:szCs w:val="21"/>
        </w:rPr>
        <w:t xml:space="preserve"> durante </w:t>
      </w:r>
      <w:r w:rsidR="00622BC8" w:rsidRPr="003338C8">
        <w:rPr>
          <w:rFonts w:ascii="Myriad Pro" w:eastAsiaTheme="minorHAnsi" w:hAnsi="Myriad Pro" w:cstheme="minorBidi"/>
          <w:b w:val="0"/>
          <w:spacing w:val="0"/>
          <w:kern w:val="0"/>
          <w:sz w:val="21"/>
          <w:szCs w:val="21"/>
        </w:rPr>
        <w:t xml:space="preserve">el mismo </w:t>
      </w:r>
      <w:r w:rsidR="0066114E" w:rsidRPr="003338C8">
        <w:rPr>
          <w:rFonts w:ascii="Myriad Pro" w:eastAsiaTheme="minorHAnsi" w:hAnsi="Myriad Pro" w:cstheme="minorBidi"/>
          <w:b w:val="0"/>
          <w:spacing w:val="0"/>
          <w:kern w:val="0"/>
          <w:sz w:val="21"/>
          <w:szCs w:val="21"/>
        </w:rPr>
        <w:t>periodo,</w:t>
      </w:r>
      <w:r w:rsidR="00183BFC" w:rsidRPr="003338C8">
        <w:rPr>
          <w:rFonts w:ascii="Myriad Pro" w:eastAsiaTheme="minorHAnsi" w:hAnsi="Myriad Pro" w:cstheme="minorBidi"/>
          <w:b w:val="0"/>
          <w:spacing w:val="0"/>
          <w:kern w:val="0"/>
          <w:sz w:val="21"/>
          <w:szCs w:val="21"/>
        </w:rPr>
        <w:t xml:space="preserve"> </w:t>
      </w:r>
      <w:r w:rsidR="000D0E85" w:rsidRPr="003338C8">
        <w:rPr>
          <w:rFonts w:ascii="Myriad Pro" w:eastAsiaTheme="minorHAnsi" w:hAnsi="Myriad Pro" w:cstheme="minorBidi"/>
          <w:b w:val="0"/>
          <w:spacing w:val="0"/>
          <w:kern w:val="0"/>
          <w:sz w:val="21"/>
          <w:szCs w:val="21"/>
        </w:rPr>
        <w:t xml:space="preserve">estos ingresos </w:t>
      </w:r>
      <w:r w:rsidR="00F62354" w:rsidRPr="003338C8">
        <w:rPr>
          <w:rFonts w:ascii="Myriad Pro" w:eastAsiaTheme="minorHAnsi" w:hAnsi="Myriad Pro" w:cstheme="minorBidi"/>
          <w:b w:val="0"/>
          <w:spacing w:val="0"/>
          <w:kern w:val="0"/>
          <w:sz w:val="21"/>
          <w:szCs w:val="21"/>
        </w:rPr>
        <w:t xml:space="preserve">representaron un </w:t>
      </w:r>
      <w:r w:rsidR="003338C8" w:rsidRPr="003338C8">
        <w:rPr>
          <w:rFonts w:ascii="Myriad Pro" w:eastAsiaTheme="minorHAnsi" w:hAnsi="Myriad Pro" w:cstheme="minorBidi"/>
          <w:b w:val="0"/>
          <w:spacing w:val="0"/>
          <w:kern w:val="0"/>
          <w:sz w:val="21"/>
          <w:szCs w:val="21"/>
        </w:rPr>
        <w:t>91</w:t>
      </w:r>
      <w:r w:rsidR="00DE3F6D" w:rsidRPr="003338C8">
        <w:rPr>
          <w:rFonts w:ascii="Myriad Pro" w:eastAsiaTheme="minorHAnsi" w:hAnsi="Myriad Pro" w:cstheme="minorBidi"/>
          <w:b w:val="0"/>
          <w:spacing w:val="0"/>
          <w:kern w:val="0"/>
          <w:sz w:val="21"/>
          <w:szCs w:val="21"/>
        </w:rPr>
        <w:t>,</w:t>
      </w:r>
      <w:r w:rsidR="003338C8" w:rsidRPr="003338C8">
        <w:rPr>
          <w:rFonts w:ascii="Myriad Pro" w:eastAsiaTheme="minorHAnsi" w:hAnsi="Myriad Pro" w:cstheme="minorBidi"/>
          <w:b w:val="0"/>
          <w:spacing w:val="0"/>
          <w:kern w:val="0"/>
          <w:sz w:val="21"/>
          <w:szCs w:val="21"/>
        </w:rPr>
        <w:t>9</w:t>
      </w:r>
      <w:r w:rsidR="00DE3F6D" w:rsidRPr="003338C8">
        <w:rPr>
          <w:rFonts w:ascii="Myriad Pro" w:eastAsiaTheme="minorHAnsi" w:hAnsi="Myriad Pro" w:cstheme="minorBidi"/>
          <w:b w:val="0"/>
          <w:spacing w:val="0"/>
          <w:kern w:val="0"/>
          <w:sz w:val="21"/>
          <w:szCs w:val="21"/>
        </w:rPr>
        <w:t>% de los otros gastos</w:t>
      </w:r>
      <w:r w:rsidR="00E87FF9" w:rsidRPr="003338C8">
        <w:rPr>
          <w:rFonts w:ascii="Myriad Pro" w:hAnsi="Myriad Pro"/>
          <w:sz w:val="21"/>
          <w:szCs w:val="21"/>
        </w:rPr>
        <w:t xml:space="preserve"> </w:t>
      </w:r>
      <w:r w:rsidR="00E87FF9" w:rsidRPr="003338C8">
        <w:rPr>
          <w:rFonts w:ascii="Myriad Pro" w:eastAsiaTheme="minorHAnsi" w:hAnsi="Myriad Pro" w:cstheme="minorBidi"/>
          <w:b w:val="0"/>
          <w:spacing w:val="0"/>
          <w:kern w:val="0"/>
          <w:sz w:val="21"/>
          <w:szCs w:val="21"/>
        </w:rPr>
        <w:t>por naturaleza</w:t>
      </w:r>
      <w:r w:rsidR="00DE3F6D" w:rsidRPr="003338C8">
        <w:rPr>
          <w:rFonts w:ascii="Myriad Pro" w:eastAsiaTheme="minorHAnsi" w:hAnsi="Myriad Pro" w:cstheme="minorBidi"/>
          <w:b w:val="0"/>
          <w:spacing w:val="0"/>
          <w:kern w:val="0"/>
          <w:sz w:val="21"/>
          <w:szCs w:val="21"/>
        </w:rPr>
        <w:t>.</w:t>
      </w:r>
      <w:r w:rsidR="00F62354" w:rsidRPr="001329A0">
        <w:rPr>
          <w:rFonts w:ascii="Myriad Pro" w:eastAsiaTheme="minorHAnsi" w:hAnsi="Myriad Pro" w:cstheme="minorBidi"/>
          <w:b w:val="0"/>
          <w:spacing w:val="0"/>
          <w:kern w:val="0"/>
          <w:sz w:val="21"/>
          <w:szCs w:val="21"/>
        </w:rPr>
        <w:t xml:space="preserve"> </w:t>
      </w:r>
      <w:r w:rsidR="000D0E85" w:rsidRPr="001329A0">
        <w:rPr>
          <w:rFonts w:ascii="Myriad Pro" w:eastAsiaTheme="minorHAnsi" w:hAnsi="Myriad Pro" w:cstheme="minorBidi"/>
          <w:b w:val="0"/>
          <w:spacing w:val="0"/>
          <w:kern w:val="0"/>
          <w:sz w:val="21"/>
          <w:szCs w:val="21"/>
        </w:rPr>
        <w:t xml:space="preserve"> </w:t>
      </w:r>
    </w:p>
    <w:p w14:paraId="1901B530" w14:textId="7FE04F88" w:rsidR="005D2FAF" w:rsidRPr="001329A0" w:rsidRDefault="0092226B" w:rsidP="00FB5CC5">
      <w:pPr>
        <w:pStyle w:val="Ttulo"/>
        <w:spacing w:after="120" w:line="240" w:lineRule="auto"/>
        <w:contextualSpacing w:val="0"/>
        <w:jc w:val="both"/>
        <w:rPr>
          <w:rFonts w:ascii="Myriad Pro" w:eastAsiaTheme="minorHAnsi" w:hAnsi="Myriad Pro" w:cstheme="minorBidi"/>
          <w:b w:val="0"/>
          <w:spacing w:val="0"/>
          <w:kern w:val="0"/>
          <w:sz w:val="21"/>
          <w:szCs w:val="21"/>
        </w:rPr>
      </w:pPr>
      <w:r w:rsidRPr="001329A0">
        <w:rPr>
          <w:rFonts w:ascii="Myriad Pro" w:hAnsi="Myriad Pro"/>
          <w:sz w:val="21"/>
          <w:szCs w:val="21"/>
        </w:rPr>
        <w:t>Adecuado retorno de los créditos en relación al riesgo:</w:t>
      </w:r>
      <w:r w:rsidR="005D2FAF" w:rsidRPr="001329A0">
        <w:rPr>
          <w:rFonts w:ascii="Myriad Pro" w:hAnsi="Myriad Pro"/>
          <w:b w:val="0"/>
          <w:sz w:val="21"/>
          <w:szCs w:val="21"/>
        </w:rPr>
        <w:t xml:space="preserve"> </w:t>
      </w:r>
      <w:r w:rsidR="002F1BEC" w:rsidRPr="001329A0">
        <w:rPr>
          <w:rFonts w:ascii="Myriad Pro" w:eastAsiaTheme="minorHAnsi" w:hAnsi="Myriad Pro" w:cstheme="minorBidi"/>
          <w:b w:val="0"/>
          <w:spacing w:val="0"/>
          <w:kern w:val="0"/>
          <w:sz w:val="21"/>
          <w:szCs w:val="21"/>
        </w:rPr>
        <w:t xml:space="preserve">a </w:t>
      </w:r>
      <w:r w:rsidR="00072914" w:rsidRPr="00072914">
        <w:rPr>
          <w:rFonts w:ascii="Myriad Pro" w:eastAsiaTheme="minorHAnsi" w:hAnsi="Myriad Pro" w:cstheme="minorBidi"/>
          <w:b w:val="0"/>
          <w:spacing w:val="0"/>
          <w:kern w:val="0"/>
          <w:sz w:val="21"/>
          <w:szCs w:val="21"/>
        </w:rPr>
        <w:t>diciembre</w:t>
      </w:r>
      <w:r w:rsidR="002F1BEC" w:rsidRPr="00072914">
        <w:rPr>
          <w:rFonts w:ascii="Myriad Pro" w:eastAsiaTheme="minorHAnsi" w:hAnsi="Myriad Pro" w:cstheme="minorBidi"/>
          <w:b w:val="0"/>
          <w:spacing w:val="0"/>
          <w:kern w:val="0"/>
          <w:sz w:val="21"/>
          <w:szCs w:val="21"/>
        </w:rPr>
        <w:t xml:space="preserve"> de 2021 la compañía posee un </w:t>
      </w:r>
      <w:r w:rsidR="002F1BEC" w:rsidRPr="00072914">
        <w:rPr>
          <w:rFonts w:ascii="Myriad Pro" w:eastAsiaTheme="minorHAnsi" w:hAnsi="Myriad Pro" w:cstheme="minorBidi"/>
          <w:b w:val="0"/>
          <w:i/>
          <w:spacing w:val="0"/>
          <w:kern w:val="0"/>
          <w:sz w:val="21"/>
          <w:szCs w:val="21"/>
        </w:rPr>
        <w:t>spread</w:t>
      </w:r>
      <w:r w:rsidR="002F1BEC" w:rsidRPr="00072914">
        <w:rPr>
          <w:rFonts w:ascii="Myriad Pro" w:eastAsiaTheme="minorHAnsi" w:hAnsi="Myriad Pro" w:cstheme="minorBidi"/>
          <w:b w:val="0"/>
          <w:spacing w:val="0"/>
          <w:kern w:val="0"/>
          <w:sz w:val="21"/>
          <w:szCs w:val="21"/>
        </w:rPr>
        <w:t xml:space="preserve"> antes de pérdida</w:t>
      </w:r>
      <w:r w:rsidR="00AC7CEE" w:rsidRPr="00072914">
        <w:rPr>
          <w:rStyle w:val="Refdenotaalpie"/>
          <w:rFonts w:ascii="Myriad Pro" w:hAnsi="Myriad Pro"/>
          <w:b w:val="0"/>
          <w:sz w:val="21"/>
          <w:szCs w:val="21"/>
        </w:rPr>
        <w:footnoteReference w:id="14"/>
      </w:r>
      <w:r w:rsidR="00AC7CEE" w:rsidRPr="00072914">
        <w:rPr>
          <w:rFonts w:ascii="Myriad Pro" w:hAnsi="Myriad Pro"/>
          <w:sz w:val="21"/>
          <w:szCs w:val="21"/>
        </w:rPr>
        <w:t xml:space="preserve"> </w:t>
      </w:r>
      <w:r w:rsidR="002F1BEC" w:rsidRPr="00072914">
        <w:rPr>
          <w:rFonts w:ascii="Myriad Pro" w:eastAsiaTheme="minorHAnsi" w:hAnsi="Myriad Pro" w:cstheme="minorBidi"/>
          <w:b w:val="0"/>
          <w:spacing w:val="0"/>
          <w:kern w:val="0"/>
          <w:sz w:val="21"/>
          <w:szCs w:val="21"/>
        </w:rPr>
        <w:t>de 1</w:t>
      </w:r>
      <w:r w:rsidR="00072914" w:rsidRPr="00072914">
        <w:rPr>
          <w:rFonts w:ascii="Myriad Pro" w:eastAsiaTheme="minorHAnsi" w:hAnsi="Myriad Pro" w:cstheme="minorBidi"/>
          <w:b w:val="0"/>
          <w:spacing w:val="0"/>
          <w:kern w:val="0"/>
          <w:sz w:val="21"/>
          <w:szCs w:val="21"/>
        </w:rPr>
        <w:t>3,8</w:t>
      </w:r>
      <w:r w:rsidR="002F1BEC" w:rsidRPr="00072914">
        <w:rPr>
          <w:rFonts w:ascii="Myriad Pro" w:eastAsiaTheme="minorHAnsi" w:hAnsi="Myriad Pro" w:cstheme="minorBidi"/>
          <w:b w:val="0"/>
          <w:spacing w:val="0"/>
          <w:kern w:val="0"/>
          <w:sz w:val="21"/>
          <w:szCs w:val="21"/>
        </w:rPr>
        <w:t>%, lo cual permite pérdidas muy superiores a las que posee la cartera.</w:t>
      </w:r>
    </w:p>
    <w:p w14:paraId="15DF89FC" w14:textId="77777777" w:rsidR="0048421B" w:rsidRPr="0048421B" w:rsidRDefault="0048421B" w:rsidP="0048421B"/>
    <w:p w14:paraId="70AB7AED" w14:textId="6ED0C350" w:rsidR="00C11B97" w:rsidRPr="000B4FA5" w:rsidRDefault="00C11B97" w:rsidP="009B7716">
      <w:pPr>
        <w:pStyle w:val="Ttulo1"/>
        <w:spacing w:before="0" w:after="120" w:line="240" w:lineRule="auto"/>
        <w:rPr>
          <w:lang w:val="es-ES"/>
        </w:rPr>
      </w:pPr>
      <w:r w:rsidRPr="000B4FA5">
        <w:rPr>
          <w:lang w:val="es-ES"/>
        </w:rPr>
        <w:t xml:space="preserve">Factores de </w:t>
      </w:r>
      <w:r w:rsidR="00C312F7">
        <w:rPr>
          <w:lang w:val="es-ES"/>
        </w:rPr>
        <w:t>r</w:t>
      </w:r>
      <w:r w:rsidRPr="000B4FA5">
        <w:rPr>
          <w:lang w:val="es-ES"/>
        </w:rPr>
        <w:t>iesgo</w:t>
      </w:r>
    </w:p>
    <w:p w14:paraId="0248A653" w14:textId="69A6FF81" w:rsidR="00F963B4" w:rsidRPr="00D0133C" w:rsidRDefault="00F963B4" w:rsidP="009B7716">
      <w:pPr>
        <w:spacing w:after="120"/>
        <w:jc w:val="both"/>
        <w:rPr>
          <w:rFonts w:eastAsiaTheme="majorEastAsia" w:cstheme="majorBidi"/>
          <w:b/>
          <w:spacing w:val="-10"/>
          <w:kern w:val="28"/>
          <w:szCs w:val="21"/>
        </w:rPr>
      </w:pPr>
      <w:r w:rsidRPr="00D0133C">
        <w:rPr>
          <w:rFonts w:eastAsiaTheme="majorEastAsia" w:cstheme="majorBidi"/>
          <w:b/>
          <w:spacing w:val="-10"/>
          <w:kern w:val="28"/>
          <w:szCs w:val="21"/>
        </w:rPr>
        <w:t>Exigencia de cumplimiento de acuerdos:</w:t>
      </w:r>
      <w:r w:rsidR="00F842BE" w:rsidRPr="00D0133C">
        <w:rPr>
          <w:rFonts w:eastAsiaTheme="majorEastAsia" w:cstheme="majorBidi"/>
          <w:b/>
          <w:spacing w:val="-10"/>
          <w:kern w:val="28"/>
          <w:szCs w:val="21"/>
        </w:rPr>
        <w:t xml:space="preserve"> </w:t>
      </w:r>
      <w:r w:rsidR="0058493E" w:rsidRPr="00D0133C">
        <w:rPr>
          <w:szCs w:val="21"/>
        </w:rPr>
        <w:t xml:space="preserve">En 2017 se finalizó la primera fase del acuerdo de reorganización judicial, y los acreedores aprobaron su modificación, estableciendo una nueva estructura de vencimientos de la deuda financiera, y exigencias de cumplimiento de diversos </w:t>
      </w:r>
      <w:proofErr w:type="spellStart"/>
      <w:r w:rsidR="0058493E" w:rsidRPr="00D0133C">
        <w:rPr>
          <w:i/>
          <w:iCs/>
          <w:szCs w:val="21"/>
        </w:rPr>
        <w:t>covenants</w:t>
      </w:r>
      <w:proofErr w:type="spellEnd"/>
      <w:r w:rsidR="0058493E" w:rsidRPr="00D0133C">
        <w:rPr>
          <w:szCs w:val="21"/>
        </w:rPr>
        <w:t>.</w:t>
      </w:r>
    </w:p>
    <w:p w14:paraId="7FDC8B8F" w14:textId="769C92AA" w:rsidR="00423C1F" w:rsidRPr="00D0133C" w:rsidRDefault="00FB3240" w:rsidP="009B7716">
      <w:pPr>
        <w:spacing w:after="120"/>
        <w:jc w:val="both"/>
        <w:rPr>
          <w:rFonts w:eastAsiaTheme="majorEastAsia" w:cstheme="majorBidi"/>
          <w:b/>
          <w:spacing w:val="-10"/>
          <w:kern w:val="28"/>
          <w:szCs w:val="21"/>
        </w:rPr>
      </w:pPr>
      <w:r w:rsidRPr="00D0133C">
        <w:rPr>
          <w:rFonts w:eastAsiaTheme="majorEastAsia" w:cstheme="majorBidi"/>
          <w:b/>
          <w:spacing w:val="-10"/>
          <w:kern w:val="28"/>
          <w:szCs w:val="21"/>
        </w:rPr>
        <w:t>Incapacidad de acceder a fuentes de financiamiento:</w:t>
      </w:r>
      <w:r w:rsidR="00423C1F" w:rsidRPr="00D0133C">
        <w:rPr>
          <w:rFonts w:eastAsiaTheme="majorEastAsia" w:cstheme="majorBidi"/>
          <w:b/>
          <w:spacing w:val="-10"/>
          <w:kern w:val="28"/>
          <w:szCs w:val="21"/>
        </w:rPr>
        <w:t xml:space="preserve"> </w:t>
      </w:r>
      <w:r w:rsidR="00492BBE" w:rsidRPr="00D0133C">
        <w:rPr>
          <w:szCs w:val="21"/>
        </w:rPr>
        <w:t>Los hechos que han afectado la Caja (</w:t>
      </w:r>
      <w:r w:rsidR="00492BBE" w:rsidRPr="00D0133C">
        <w:rPr>
          <w:i/>
          <w:iCs/>
          <w:szCs w:val="21"/>
        </w:rPr>
        <w:t>default</w:t>
      </w:r>
      <w:r w:rsidR="00492BBE" w:rsidRPr="00D0133C">
        <w:rPr>
          <w:szCs w:val="21"/>
        </w:rPr>
        <w:t xml:space="preserve"> de 2015 y acuerdo judicial con acreedores, del cual ha comenzado su segunda etapa) conllevan a que la institución aún no sea calificada como sujeto de crédito.</w:t>
      </w:r>
    </w:p>
    <w:p w14:paraId="4AE2F252" w14:textId="7911A7A1" w:rsidR="00423C1F" w:rsidRPr="00D0133C" w:rsidRDefault="00E173A1" w:rsidP="009B7716">
      <w:pPr>
        <w:spacing w:after="120"/>
        <w:jc w:val="both"/>
        <w:rPr>
          <w:rFonts w:eastAsiaTheme="majorEastAsia" w:cstheme="majorBidi"/>
          <w:b/>
          <w:spacing w:val="-10"/>
          <w:kern w:val="28"/>
          <w:szCs w:val="21"/>
        </w:rPr>
      </w:pPr>
      <w:r w:rsidRPr="00D0133C">
        <w:rPr>
          <w:rFonts w:eastAsiaTheme="majorEastAsia" w:cstheme="majorBidi"/>
          <w:b/>
          <w:spacing w:val="-10"/>
          <w:kern w:val="28"/>
          <w:szCs w:val="21"/>
        </w:rPr>
        <w:t>Estructura de propiedad</w:t>
      </w:r>
      <w:r w:rsidR="00423C1F" w:rsidRPr="00D0133C">
        <w:rPr>
          <w:rFonts w:eastAsiaTheme="majorEastAsia" w:cstheme="majorBidi"/>
          <w:b/>
          <w:spacing w:val="-10"/>
          <w:kern w:val="28"/>
          <w:szCs w:val="21"/>
        </w:rPr>
        <w:t xml:space="preserve">: </w:t>
      </w:r>
      <w:r w:rsidR="00667325" w:rsidRPr="00D0133C">
        <w:rPr>
          <w:szCs w:val="21"/>
        </w:rPr>
        <w:t xml:space="preserve">La estructura propietaria de la caja de compensación dificulta la posibilidad de aumentos de capital ante situaciones que pudiesen debilitar su situación financiera. Adicionalmente, las características de la propiedad llevan a que la dirección superior de la institución tenga costos económicos de baja relevancia por decisiones que pudieran afectar el riesgo o valor de la corporación. En este caso debido a la estructura de propiedad de la totalidad de las cajas de compensación no se da una relación estrecha entre el desarrollo de la entidad y los beneficios percibidos por los propietarios. Con todo, cabe hacer notar que </w:t>
      </w:r>
      <w:r w:rsidR="00667325" w:rsidRPr="00D0133C">
        <w:rPr>
          <w:b/>
          <w:bCs/>
          <w:szCs w:val="21"/>
        </w:rPr>
        <w:t>CCAF La Araucana</w:t>
      </w:r>
      <w:r w:rsidR="00667325" w:rsidRPr="00D0133C">
        <w:rPr>
          <w:szCs w:val="21"/>
        </w:rPr>
        <w:t xml:space="preserve"> nació al alero de la Cámara Comercio de Santiago y presenta un fuerte </w:t>
      </w:r>
      <w:r w:rsidR="00667325" w:rsidRPr="00D0133C">
        <w:rPr>
          <w:szCs w:val="21"/>
        </w:rPr>
        <w:lastRenderedPageBreak/>
        <w:t>vínculo con dicha entidad, pudiendo elegir a dos de los directores empresariales, mientras la Cámara Nacional de Comercio podrá elegir a los dos directores empresariales restantes, aun cuando esta última no tiene patrimonio comprometido, pero si una vinculación legal.</w:t>
      </w:r>
    </w:p>
    <w:p w14:paraId="24A20FD0" w14:textId="68F52B96" w:rsidR="00385B1C" w:rsidRPr="00D0133C" w:rsidRDefault="008715F2" w:rsidP="009B7716">
      <w:pPr>
        <w:spacing w:after="120"/>
        <w:jc w:val="both"/>
        <w:rPr>
          <w:szCs w:val="21"/>
        </w:rPr>
      </w:pPr>
      <w:r w:rsidRPr="00D0133C">
        <w:rPr>
          <w:rFonts w:eastAsiaTheme="majorEastAsia" w:cstheme="majorBidi"/>
          <w:b/>
          <w:spacing w:val="-10"/>
          <w:kern w:val="28"/>
          <w:szCs w:val="21"/>
        </w:rPr>
        <w:t>Endeudamiento relativamente elevado</w:t>
      </w:r>
      <w:r w:rsidR="00423C1F" w:rsidRPr="00D0133C">
        <w:rPr>
          <w:rFonts w:eastAsiaTheme="majorEastAsia" w:cstheme="majorBidi"/>
          <w:b/>
          <w:spacing w:val="-10"/>
          <w:kern w:val="28"/>
          <w:szCs w:val="21"/>
        </w:rPr>
        <w:t xml:space="preserve">: </w:t>
      </w:r>
      <w:r w:rsidR="005778B0" w:rsidRPr="00D0133C">
        <w:rPr>
          <w:szCs w:val="21"/>
        </w:rPr>
        <w:t xml:space="preserve">Al comparar la evolución del pasivo exigible sobre patrimonio de la organización con el resto de la industria, se observa que </w:t>
      </w:r>
      <w:r w:rsidR="005778B0" w:rsidRPr="00D0133C">
        <w:rPr>
          <w:b/>
          <w:bCs/>
          <w:szCs w:val="21"/>
        </w:rPr>
        <w:t>CCAF La Araucana</w:t>
      </w:r>
      <w:r w:rsidR="005778B0" w:rsidRPr="00D0133C">
        <w:rPr>
          <w:szCs w:val="21"/>
        </w:rPr>
        <w:t xml:space="preserve"> posee un indicador de </w:t>
      </w:r>
      <w:r w:rsidR="00767252">
        <w:rPr>
          <w:szCs w:val="21"/>
        </w:rPr>
        <w:t>2,1</w:t>
      </w:r>
      <w:r w:rsidR="005778B0" w:rsidRPr="00D0133C">
        <w:rPr>
          <w:szCs w:val="21"/>
        </w:rPr>
        <w:t xml:space="preserve"> veces en marzo de 202</w:t>
      </w:r>
      <w:r w:rsidR="00767252">
        <w:rPr>
          <w:szCs w:val="21"/>
        </w:rPr>
        <w:t>2</w:t>
      </w:r>
      <w:r w:rsidR="005778B0" w:rsidRPr="00D0133C">
        <w:rPr>
          <w:szCs w:val="21"/>
        </w:rPr>
        <w:t>, el cual es mayor con respecto al</w:t>
      </w:r>
      <w:r w:rsidR="005D561B" w:rsidRPr="00D0133C">
        <w:rPr>
          <w:szCs w:val="21"/>
        </w:rPr>
        <w:t xml:space="preserve"> mercado</w:t>
      </w:r>
      <w:r w:rsidR="005778B0" w:rsidRPr="00D0133C">
        <w:rPr>
          <w:szCs w:val="21"/>
        </w:rPr>
        <w:t xml:space="preserve"> de cajas de compensación que en promedio se ubicó en torno a las 1,</w:t>
      </w:r>
      <w:r w:rsidR="005E1246">
        <w:rPr>
          <w:szCs w:val="21"/>
        </w:rPr>
        <w:t>5</w:t>
      </w:r>
      <w:r w:rsidR="005778B0" w:rsidRPr="00D0133C">
        <w:rPr>
          <w:szCs w:val="21"/>
        </w:rPr>
        <w:t xml:space="preserve"> veces en el mismo periodo. Esto demuestra una menor fortaleza patrimonial que su competencia relevante.</w:t>
      </w:r>
      <w:r w:rsidR="003C1AAC" w:rsidRPr="00D0133C">
        <w:rPr>
          <w:szCs w:val="21"/>
        </w:rPr>
        <w:t xml:space="preserve"> </w:t>
      </w:r>
    </w:p>
    <w:p w14:paraId="46736C07" w14:textId="674ACB54" w:rsidR="003708CC" w:rsidRPr="00D0133C" w:rsidRDefault="00385B1C" w:rsidP="009B7716">
      <w:pPr>
        <w:spacing w:after="120"/>
        <w:jc w:val="both"/>
        <w:rPr>
          <w:szCs w:val="21"/>
        </w:rPr>
      </w:pPr>
      <w:r w:rsidRPr="00D0133C">
        <w:rPr>
          <w:szCs w:val="21"/>
        </w:rPr>
        <w:t xml:space="preserve">Sin perjuicio de lo anterior, </w:t>
      </w:r>
      <w:r w:rsidR="003C1AAC" w:rsidRPr="00D0133C">
        <w:rPr>
          <w:szCs w:val="21"/>
        </w:rPr>
        <w:t xml:space="preserve">se valora </w:t>
      </w:r>
      <w:r w:rsidRPr="00D0133C">
        <w:rPr>
          <w:szCs w:val="21"/>
        </w:rPr>
        <w:t xml:space="preserve">que </w:t>
      </w:r>
      <w:r w:rsidR="008D294E" w:rsidRPr="00D0133C">
        <w:rPr>
          <w:szCs w:val="21"/>
        </w:rPr>
        <w:t xml:space="preserve">la entidad ha </w:t>
      </w:r>
      <w:r w:rsidR="00A773D3" w:rsidRPr="00D0133C">
        <w:rPr>
          <w:szCs w:val="21"/>
        </w:rPr>
        <w:t xml:space="preserve">enfocado sus esfuerzos en reducir los niveles de deuda desde un </w:t>
      </w:r>
      <w:r w:rsidR="00A773D3" w:rsidRPr="00935E16">
        <w:rPr>
          <w:szCs w:val="21"/>
        </w:rPr>
        <w:t>ratio</w:t>
      </w:r>
      <w:r w:rsidR="00A773D3" w:rsidRPr="00D0133C">
        <w:rPr>
          <w:szCs w:val="21"/>
        </w:rPr>
        <w:t xml:space="preserve"> de 5,6 veces en diciembre de 2016 a un</w:t>
      </w:r>
      <w:r w:rsidR="00530E4C" w:rsidRPr="00D0133C">
        <w:rPr>
          <w:szCs w:val="21"/>
        </w:rPr>
        <w:t xml:space="preserve">o de </w:t>
      </w:r>
      <w:r w:rsidR="009B5F59">
        <w:rPr>
          <w:szCs w:val="21"/>
        </w:rPr>
        <w:t>2,1</w:t>
      </w:r>
      <w:r w:rsidRPr="00D0133C">
        <w:rPr>
          <w:szCs w:val="21"/>
        </w:rPr>
        <w:t xml:space="preserve"> veces </w:t>
      </w:r>
      <w:r w:rsidR="00530E4C" w:rsidRPr="00D0133C">
        <w:rPr>
          <w:szCs w:val="21"/>
        </w:rPr>
        <w:t>en diciembre de 202</w:t>
      </w:r>
      <w:r w:rsidR="009D45D6">
        <w:rPr>
          <w:szCs w:val="21"/>
        </w:rPr>
        <w:t>1</w:t>
      </w:r>
      <w:r w:rsidR="00530E4C" w:rsidRPr="00D0133C">
        <w:rPr>
          <w:szCs w:val="21"/>
        </w:rPr>
        <w:t xml:space="preserve"> y marzo de 202</w:t>
      </w:r>
      <w:r w:rsidR="009D45D6">
        <w:rPr>
          <w:szCs w:val="21"/>
        </w:rPr>
        <w:t>2</w:t>
      </w:r>
      <w:r w:rsidR="00530E4C" w:rsidRPr="00D0133C">
        <w:rPr>
          <w:szCs w:val="21"/>
        </w:rPr>
        <w:t>.</w:t>
      </w:r>
    </w:p>
    <w:p w14:paraId="172A15F4" w14:textId="43765FD8" w:rsidR="00423C1F" w:rsidRPr="00D0133C" w:rsidRDefault="003F555E" w:rsidP="009B7716">
      <w:pPr>
        <w:spacing w:after="120"/>
        <w:jc w:val="both"/>
        <w:rPr>
          <w:rFonts w:eastAsiaTheme="majorEastAsia" w:cstheme="majorBidi"/>
          <w:b/>
          <w:spacing w:val="-10"/>
          <w:kern w:val="28"/>
          <w:szCs w:val="21"/>
        </w:rPr>
      </w:pPr>
      <w:r w:rsidRPr="00D0133C">
        <w:rPr>
          <w:rFonts w:eastAsiaTheme="majorEastAsia" w:cstheme="majorBidi"/>
          <w:b/>
          <w:spacing w:val="-10"/>
          <w:kern w:val="28"/>
          <w:szCs w:val="21"/>
        </w:rPr>
        <w:t>Cambios del entorno competitivo</w:t>
      </w:r>
      <w:r w:rsidR="00423C1F" w:rsidRPr="00D0133C">
        <w:rPr>
          <w:rFonts w:eastAsiaTheme="majorEastAsia" w:cstheme="majorBidi"/>
          <w:b/>
          <w:spacing w:val="-10"/>
          <w:kern w:val="28"/>
          <w:szCs w:val="21"/>
        </w:rPr>
        <w:t xml:space="preserve">: </w:t>
      </w:r>
      <w:r w:rsidR="006D6E39" w:rsidRPr="00D0133C">
        <w:rPr>
          <w:szCs w:val="21"/>
        </w:rPr>
        <w:t>La existencia de bancos comerciales orientados a los créditos de consumo, el fuerte negocio financiero de las casas comerciales, la posibilidad de las compañías de seguros de otorgar préstamos y los mayores niveles esperables de bancarización</w:t>
      </w:r>
      <w:r w:rsidR="00112A16" w:rsidRPr="00D0133C">
        <w:rPr>
          <w:rStyle w:val="Refdenotaalpie"/>
          <w:szCs w:val="21"/>
        </w:rPr>
        <w:footnoteReference w:id="15"/>
      </w:r>
      <w:r w:rsidR="006D6E39" w:rsidRPr="00D0133C">
        <w:rPr>
          <w:szCs w:val="21"/>
        </w:rPr>
        <w:t xml:space="preserve">, entre otros factores, permiten presumir que a mediano o largo plazo debiera aumentar la competencia en el mercado crediticio, presionando a la baja los márgenes del negocio.  </w:t>
      </w:r>
    </w:p>
    <w:p w14:paraId="7A660187" w14:textId="7BE0A860" w:rsidR="00D46A97" w:rsidRPr="00D0133C" w:rsidRDefault="00033062" w:rsidP="009B7716">
      <w:pPr>
        <w:spacing w:after="120"/>
        <w:jc w:val="both"/>
        <w:rPr>
          <w:szCs w:val="21"/>
        </w:rPr>
      </w:pPr>
      <w:r w:rsidRPr="00D0133C">
        <w:rPr>
          <w:rFonts w:eastAsiaTheme="majorEastAsia" w:cstheme="majorBidi"/>
          <w:b/>
          <w:spacing w:val="-10"/>
          <w:kern w:val="28"/>
          <w:szCs w:val="21"/>
        </w:rPr>
        <w:t>Mercado objetivo riesgoso</w:t>
      </w:r>
      <w:r w:rsidR="00C11B97" w:rsidRPr="00D0133C">
        <w:rPr>
          <w:rFonts w:eastAsiaTheme="majorEastAsia" w:cstheme="majorBidi"/>
          <w:b/>
          <w:spacing w:val="-10"/>
          <w:kern w:val="28"/>
          <w:szCs w:val="21"/>
        </w:rPr>
        <w:t>:</w:t>
      </w:r>
      <w:r w:rsidR="00C11B97" w:rsidRPr="00D0133C">
        <w:rPr>
          <w:rFonts w:eastAsia="Times New Roman" w:cs="Times New Roman"/>
          <w:b/>
          <w:color w:val="333399"/>
          <w:szCs w:val="21"/>
          <w:lang w:eastAsia="es-ES"/>
        </w:rPr>
        <w:t xml:space="preserve"> </w:t>
      </w:r>
      <w:r w:rsidR="004010CF" w:rsidRPr="00D0133C">
        <w:rPr>
          <w:szCs w:val="21"/>
        </w:rPr>
        <w:t xml:space="preserve">La empresa se orienta principalmente a entregar créditos a sectores más riesgosos dentro de la población. En general el tipo de afiliado que accede a créditos de la caja es un cliente poco bancarizado y con un mayor nivel de riesgo.   </w:t>
      </w:r>
    </w:p>
    <w:p w14:paraId="2C6957D8" w14:textId="77777777" w:rsidR="00BE6C3B" w:rsidRPr="00072914" w:rsidRDefault="00AE1366" w:rsidP="009B7716">
      <w:pPr>
        <w:spacing w:after="120"/>
        <w:jc w:val="both"/>
        <w:rPr>
          <w:szCs w:val="21"/>
        </w:rPr>
      </w:pPr>
      <w:r w:rsidRPr="00D0133C">
        <w:rPr>
          <w:rFonts w:eastAsiaTheme="majorEastAsia" w:cstheme="majorBidi"/>
          <w:b/>
          <w:spacing w:val="-10"/>
          <w:kern w:val="28"/>
          <w:szCs w:val="21"/>
        </w:rPr>
        <w:t>Cambios de marco legal de las cajas de compensación</w:t>
      </w:r>
      <w:r w:rsidR="00C71EA2" w:rsidRPr="00D0133C">
        <w:rPr>
          <w:rFonts w:eastAsiaTheme="majorEastAsia" w:cstheme="majorBidi"/>
          <w:b/>
          <w:spacing w:val="-10"/>
          <w:kern w:val="28"/>
          <w:szCs w:val="21"/>
        </w:rPr>
        <w:t>:</w:t>
      </w:r>
      <w:r w:rsidR="00C71EA2" w:rsidRPr="00D0133C">
        <w:rPr>
          <w:rFonts w:eastAsia="Times New Roman" w:cs="Times New Roman"/>
          <w:b/>
          <w:color w:val="333399"/>
          <w:szCs w:val="21"/>
          <w:lang w:eastAsia="es-ES"/>
        </w:rPr>
        <w:t xml:space="preserve"> </w:t>
      </w:r>
      <w:r w:rsidR="00BE6C3B" w:rsidRPr="00072914">
        <w:rPr>
          <w:szCs w:val="21"/>
        </w:rPr>
        <w:t>Hoy en día las “cajas” están al amparo de la ley 18.833 especial para cajas de compensación, en la que el pago de los créditos otorgados es recaudado por las empresas adheridas o las instituciones responsables de las pensiones, las cuales deben descontar mensualmente los montos correspondientes del sueldo del trabajador o pensión del afiliado. Este procedimiento de descuento queda sujeto a las mismas normas que regulan la retención y pago de las cotizaciones previsionales. Es por ello que cualquier cambio en la regulación podría eventualmente volver menos competitivas a las “cajas” con respecto de otras instituciones financieras. Aunque se considera un escenario poco probable el cambio de regulación, es un riesgo que se debe considerar.</w:t>
      </w:r>
    </w:p>
    <w:p w14:paraId="605BBF27" w14:textId="77777777" w:rsidR="00BE6C3B" w:rsidRPr="00072914" w:rsidRDefault="00BE6C3B" w:rsidP="009B7716">
      <w:pPr>
        <w:spacing w:after="120"/>
        <w:jc w:val="both"/>
        <w:rPr>
          <w:szCs w:val="21"/>
        </w:rPr>
      </w:pPr>
      <w:r w:rsidRPr="00072914">
        <w:rPr>
          <w:szCs w:val="21"/>
        </w:rPr>
        <w:t>A modo de ejemplo, durante 2018 la Contraloría reinterpretó el máximo descuento por planilla que pueden ser destinados a pagar créditos con cajas de compensación, que pasó de 25% a 15% de los nuevos créditos de funcionarios públicos bajo el Estatuto Administrativo.</w:t>
      </w:r>
    </w:p>
    <w:p w14:paraId="74FED056" w14:textId="3AC11229" w:rsidR="00C71EA2" w:rsidRPr="00D0133C" w:rsidRDefault="00BE6C3B" w:rsidP="009B7716">
      <w:pPr>
        <w:spacing w:after="120"/>
        <w:jc w:val="both"/>
        <w:rPr>
          <w:szCs w:val="21"/>
        </w:rPr>
      </w:pPr>
      <w:r w:rsidRPr="00072914">
        <w:rPr>
          <w:szCs w:val="21"/>
        </w:rPr>
        <w:t>En lo más reciente, a través del dictamen 1401-2020, la Superintendencia de Seguridad Social instruyó a las Cajas de Compensación a reprogramar, al final del período inicial del crédito, las cuotas de los créditos de aquellos trabajadores acogidos a la Ley de Protección del Empleo.</w:t>
      </w:r>
    </w:p>
    <w:p w14:paraId="67DFC359" w14:textId="182C769C" w:rsidR="00C11B97" w:rsidRPr="00D0133C" w:rsidRDefault="00563DF9" w:rsidP="009B7716">
      <w:pPr>
        <w:spacing w:after="120"/>
        <w:jc w:val="both"/>
        <w:rPr>
          <w:szCs w:val="21"/>
        </w:rPr>
      </w:pPr>
      <w:r w:rsidRPr="00D0133C">
        <w:rPr>
          <w:rFonts w:eastAsiaTheme="majorEastAsia" w:cstheme="majorBidi"/>
          <w:b/>
          <w:spacing w:val="-10"/>
          <w:kern w:val="28"/>
          <w:szCs w:val="21"/>
        </w:rPr>
        <w:t>Características del fondeo</w:t>
      </w:r>
      <w:r w:rsidR="00C11B97" w:rsidRPr="00D0133C">
        <w:rPr>
          <w:rFonts w:eastAsiaTheme="majorEastAsia" w:cstheme="majorBidi"/>
          <w:b/>
          <w:spacing w:val="-10"/>
          <w:kern w:val="28"/>
          <w:szCs w:val="21"/>
        </w:rPr>
        <w:t>:</w:t>
      </w:r>
      <w:r w:rsidR="00C11B97" w:rsidRPr="00D0133C">
        <w:rPr>
          <w:rFonts w:eastAsia="Times New Roman" w:cs="Times New Roman"/>
          <w:color w:val="auto"/>
          <w:szCs w:val="21"/>
          <w:lang w:val="es-ES" w:eastAsia="es-ES"/>
        </w:rPr>
        <w:t xml:space="preserve"> </w:t>
      </w:r>
      <w:r w:rsidR="000D372F" w:rsidRPr="00D0133C">
        <w:rPr>
          <w:szCs w:val="21"/>
        </w:rPr>
        <w:t xml:space="preserve">Parte del financiamiento de la institución proviene de bancos de la plaza, por lo que situaciones de </w:t>
      </w:r>
      <w:r w:rsidR="003B6527" w:rsidRPr="00D0133C">
        <w:rPr>
          <w:szCs w:val="21"/>
        </w:rPr>
        <w:t xml:space="preserve">falta de </w:t>
      </w:r>
      <w:r w:rsidR="000D372F" w:rsidRPr="00D0133C">
        <w:rPr>
          <w:szCs w:val="21"/>
        </w:rPr>
        <w:t xml:space="preserve">liquidez del mercado podría afectar la renovación de los préstamos, lo cual </w:t>
      </w:r>
      <w:r w:rsidR="000D372F" w:rsidRPr="00D0133C">
        <w:rPr>
          <w:szCs w:val="21"/>
        </w:rPr>
        <w:lastRenderedPageBreak/>
        <w:t>presionaría la disponibilidad de efectivo de la corporación. Sin embargo, este riesgo se encuentra atenuado, ya que</w:t>
      </w:r>
      <w:r w:rsidR="00BE3C56" w:rsidRPr="00D0133C">
        <w:rPr>
          <w:szCs w:val="21"/>
        </w:rPr>
        <w:t>,</w:t>
      </w:r>
      <w:r w:rsidR="00A5492B" w:rsidRPr="00D0133C">
        <w:rPr>
          <w:szCs w:val="21"/>
        </w:rPr>
        <w:t xml:space="preserve"> a marzo de 202</w:t>
      </w:r>
      <w:r w:rsidR="00780D90">
        <w:rPr>
          <w:szCs w:val="21"/>
        </w:rPr>
        <w:t>2</w:t>
      </w:r>
      <w:r w:rsidR="00A5492B" w:rsidRPr="00D0133C">
        <w:rPr>
          <w:szCs w:val="21"/>
        </w:rPr>
        <w:t>, su financiamiento se distribuía</w:t>
      </w:r>
      <w:r w:rsidR="005F3619" w:rsidRPr="00D0133C">
        <w:rPr>
          <w:szCs w:val="21"/>
        </w:rPr>
        <w:t xml:space="preserve"> en mayor medida en</w:t>
      </w:r>
      <w:r w:rsidR="00A5492B" w:rsidRPr="00D0133C">
        <w:rPr>
          <w:szCs w:val="21"/>
        </w:rPr>
        <w:t xml:space="preserve"> </w:t>
      </w:r>
      <w:r w:rsidR="008F4554" w:rsidRPr="00D0133C">
        <w:rPr>
          <w:szCs w:val="21"/>
        </w:rPr>
        <w:t>bonos corporativos (7</w:t>
      </w:r>
      <w:r w:rsidR="00625062">
        <w:rPr>
          <w:szCs w:val="21"/>
        </w:rPr>
        <w:t>6</w:t>
      </w:r>
      <w:r w:rsidR="00C47D88">
        <w:rPr>
          <w:szCs w:val="21"/>
        </w:rPr>
        <w:t>,</w:t>
      </w:r>
      <w:r w:rsidR="00625062">
        <w:rPr>
          <w:szCs w:val="21"/>
        </w:rPr>
        <w:t>2</w:t>
      </w:r>
      <w:r w:rsidR="008F4554" w:rsidRPr="00D0133C">
        <w:rPr>
          <w:szCs w:val="21"/>
        </w:rPr>
        <w:t>%) y</w:t>
      </w:r>
      <w:r w:rsidR="00A5492B" w:rsidRPr="00D0133C">
        <w:rPr>
          <w:szCs w:val="21"/>
        </w:rPr>
        <w:t xml:space="preserve"> </w:t>
      </w:r>
      <w:r w:rsidR="006D0CD5" w:rsidRPr="00D0133C">
        <w:rPr>
          <w:szCs w:val="21"/>
        </w:rPr>
        <w:t xml:space="preserve">una menor </w:t>
      </w:r>
      <w:r w:rsidR="00366F6E" w:rsidRPr="00D0133C">
        <w:rPr>
          <w:szCs w:val="21"/>
        </w:rPr>
        <w:t>medida</w:t>
      </w:r>
      <w:r w:rsidR="006D0CD5" w:rsidRPr="00D0133C">
        <w:rPr>
          <w:szCs w:val="21"/>
        </w:rPr>
        <w:t xml:space="preserve"> en </w:t>
      </w:r>
      <w:r w:rsidR="00A5492B" w:rsidRPr="00D0133C">
        <w:rPr>
          <w:szCs w:val="21"/>
        </w:rPr>
        <w:t>obligaciones con instituciones públicas (0,1%)</w:t>
      </w:r>
      <w:r w:rsidR="008F4554" w:rsidRPr="00D0133C">
        <w:rPr>
          <w:szCs w:val="21"/>
        </w:rPr>
        <w:t>.</w:t>
      </w:r>
      <w:r w:rsidR="006D0CD5" w:rsidRPr="00D0133C">
        <w:rPr>
          <w:szCs w:val="21"/>
        </w:rPr>
        <w:t xml:space="preserve"> Por su parte,</w:t>
      </w:r>
      <w:r w:rsidR="00D828C0" w:rsidRPr="00D0133C">
        <w:rPr>
          <w:szCs w:val="21"/>
        </w:rPr>
        <w:t xml:space="preserve"> e</w:t>
      </w:r>
      <w:r w:rsidR="006D05EF" w:rsidRPr="00D0133C">
        <w:rPr>
          <w:szCs w:val="21"/>
        </w:rPr>
        <w:t>l financiamiento con</w:t>
      </w:r>
      <w:r w:rsidR="00335334" w:rsidRPr="00D0133C">
        <w:rPr>
          <w:szCs w:val="21"/>
        </w:rPr>
        <w:t xml:space="preserve"> instituciones</w:t>
      </w:r>
      <w:r w:rsidR="006D0CD5" w:rsidRPr="00D0133C">
        <w:rPr>
          <w:szCs w:val="21"/>
        </w:rPr>
        <w:t xml:space="preserve"> bancarias </w:t>
      </w:r>
      <w:r w:rsidR="00335334" w:rsidRPr="00D0133C">
        <w:rPr>
          <w:szCs w:val="21"/>
        </w:rPr>
        <w:t>y</w:t>
      </w:r>
      <w:r w:rsidR="006D0CD5" w:rsidRPr="00D0133C">
        <w:rPr>
          <w:szCs w:val="21"/>
        </w:rPr>
        <w:t xml:space="preserve"> arrendamientos</w:t>
      </w:r>
      <w:r w:rsidR="00BA739F" w:rsidRPr="00D0133C">
        <w:rPr>
          <w:szCs w:val="21"/>
        </w:rPr>
        <w:t xml:space="preserve"> correspondía a un 2</w:t>
      </w:r>
      <w:r w:rsidR="00625062">
        <w:rPr>
          <w:szCs w:val="21"/>
        </w:rPr>
        <w:t>3,7</w:t>
      </w:r>
      <w:r w:rsidR="00BA739F" w:rsidRPr="00D0133C">
        <w:rPr>
          <w:szCs w:val="21"/>
        </w:rPr>
        <w:t>% del pasivo financiero</w:t>
      </w:r>
      <w:r w:rsidR="00335334" w:rsidRPr="00D0133C">
        <w:rPr>
          <w:szCs w:val="21"/>
        </w:rPr>
        <w:t>.</w:t>
      </w:r>
    </w:p>
    <w:p w14:paraId="31E4210E" w14:textId="77777777" w:rsidR="00C65075" w:rsidRDefault="00C65075" w:rsidP="009B7716">
      <w:pPr>
        <w:spacing w:after="120"/>
        <w:jc w:val="both"/>
      </w:pPr>
    </w:p>
    <w:p w14:paraId="37818C49" w14:textId="51DB13F6" w:rsidR="00C11B97" w:rsidRDefault="00C10CC8" w:rsidP="009B7716">
      <w:pPr>
        <w:pStyle w:val="Ttulo1"/>
        <w:spacing w:before="0" w:after="120" w:line="240" w:lineRule="auto"/>
        <w:rPr>
          <w:lang w:val="es-ES"/>
        </w:rPr>
      </w:pPr>
      <w:r>
        <w:rPr>
          <w:lang w:val="es-ES"/>
        </w:rPr>
        <w:t>Antecedentes generales</w:t>
      </w:r>
    </w:p>
    <w:p w14:paraId="5C99AEFD" w14:textId="61C3E504" w:rsidR="00C10CC8" w:rsidRPr="000528DB" w:rsidRDefault="00C10CC8" w:rsidP="009B7716">
      <w:pPr>
        <w:pStyle w:val="Ttulo"/>
        <w:spacing w:after="120" w:line="240" w:lineRule="auto"/>
      </w:pPr>
      <w:r w:rsidRPr="000528DB">
        <w:t>La compañía</w:t>
      </w:r>
    </w:p>
    <w:p w14:paraId="7BC4C9BE" w14:textId="027DEAA1" w:rsidR="005E22A9" w:rsidRPr="005E22A9" w:rsidRDefault="005E22A9" w:rsidP="009B7716">
      <w:pPr>
        <w:pStyle w:val="Ttulo"/>
        <w:spacing w:after="120" w:line="240" w:lineRule="auto"/>
        <w:contextualSpacing w:val="0"/>
        <w:jc w:val="both"/>
        <w:rPr>
          <w:rFonts w:ascii="Myriad Pro" w:eastAsiaTheme="minorHAnsi" w:hAnsi="Myriad Pro" w:cstheme="minorBidi"/>
          <w:b w:val="0"/>
          <w:spacing w:val="0"/>
          <w:kern w:val="0"/>
          <w:sz w:val="21"/>
          <w:szCs w:val="24"/>
        </w:rPr>
      </w:pPr>
      <w:r w:rsidRPr="003A70A7">
        <w:rPr>
          <w:rFonts w:ascii="Myriad Pro" w:eastAsiaTheme="minorHAnsi" w:hAnsi="Myriad Pro" w:cstheme="minorBidi"/>
          <w:bCs/>
          <w:spacing w:val="0"/>
          <w:kern w:val="0"/>
          <w:sz w:val="21"/>
          <w:szCs w:val="24"/>
        </w:rPr>
        <w:t>CCAF La Araucana</w:t>
      </w:r>
      <w:r w:rsidRPr="005E22A9">
        <w:rPr>
          <w:rFonts w:ascii="Myriad Pro" w:eastAsiaTheme="minorHAnsi" w:hAnsi="Myriad Pro" w:cstheme="minorBidi"/>
          <w:b w:val="0"/>
          <w:spacing w:val="0"/>
          <w:kern w:val="0"/>
          <w:sz w:val="21"/>
          <w:szCs w:val="24"/>
        </w:rPr>
        <w:t xml:space="preserve"> es una corporación de derecho privado, sin fines de lucro, cuyo objetivo es la administración de prestaciones de seguridad social. Nació en 1968 al alero de la Cámara de Comercio. Se encuentra supervisada y fiscalizada por la SUSESO y es regida por la Ley 18.833, por sus reglamentos y su respectivo estatuto. Actualmente la caja, como emisora de bonos de oferta pública, también es fiscalizada por la Comisión para el Mercado Financiero (CMF). </w:t>
      </w:r>
    </w:p>
    <w:p w14:paraId="0D7F0EC5" w14:textId="25F5346E" w:rsidR="005E22A9" w:rsidRPr="005E22A9" w:rsidRDefault="005E22A9" w:rsidP="009B7716">
      <w:pPr>
        <w:pStyle w:val="Ttulo"/>
        <w:spacing w:after="120" w:line="240" w:lineRule="auto"/>
        <w:contextualSpacing w:val="0"/>
        <w:jc w:val="both"/>
        <w:rPr>
          <w:rFonts w:ascii="Myriad Pro" w:eastAsiaTheme="minorHAnsi" w:hAnsi="Myriad Pro" w:cstheme="minorBidi"/>
          <w:b w:val="0"/>
          <w:spacing w:val="0"/>
          <w:kern w:val="0"/>
          <w:sz w:val="21"/>
          <w:szCs w:val="24"/>
        </w:rPr>
      </w:pPr>
      <w:r w:rsidRPr="005E22A9">
        <w:rPr>
          <w:rFonts w:ascii="Myriad Pro" w:eastAsiaTheme="minorHAnsi" w:hAnsi="Myriad Pro" w:cstheme="minorBidi"/>
          <w:b w:val="0"/>
          <w:spacing w:val="0"/>
          <w:kern w:val="0"/>
          <w:sz w:val="21"/>
          <w:szCs w:val="24"/>
        </w:rPr>
        <w:t>A marzo de 202</w:t>
      </w:r>
      <w:r w:rsidR="00554DD7">
        <w:rPr>
          <w:rFonts w:ascii="Myriad Pro" w:eastAsiaTheme="minorHAnsi" w:hAnsi="Myriad Pro" w:cstheme="minorBidi"/>
          <w:b w:val="0"/>
          <w:spacing w:val="0"/>
          <w:kern w:val="0"/>
          <w:sz w:val="21"/>
          <w:szCs w:val="24"/>
        </w:rPr>
        <w:t>1</w:t>
      </w:r>
      <w:r w:rsidRPr="005E22A9">
        <w:rPr>
          <w:rFonts w:ascii="Myriad Pro" w:eastAsiaTheme="minorHAnsi" w:hAnsi="Myriad Pro" w:cstheme="minorBidi"/>
          <w:b w:val="0"/>
          <w:spacing w:val="0"/>
          <w:kern w:val="0"/>
          <w:sz w:val="21"/>
          <w:szCs w:val="24"/>
        </w:rPr>
        <w:t xml:space="preserve"> </w:t>
      </w:r>
      <w:r w:rsidRPr="003A70A7">
        <w:rPr>
          <w:rFonts w:ascii="Myriad Pro" w:eastAsiaTheme="minorHAnsi" w:hAnsi="Myriad Pro" w:cstheme="minorBidi"/>
          <w:bCs/>
          <w:spacing w:val="0"/>
          <w:kern w:val="0"/>
          <w:sz w:val="21"/>
          <w:szCs w:val="24"/>
        </w:rPr>
        <w:t>CCAF La Araucana</w:t>
      </w:r>
      <w:r w:rsidRPr="005E22A9">
        <w:rPr>
          <w:rFonts w:ascii="Myriad Pro" w:eastAsiaTheme="minorHAnsi" w:hAnsi="Myriad Pro" w:cstheme="minorBidi"/>
          <w:b w:val="0"/>
          <w:spacing w:val="0"/>
          <w:kern w:val="0"/>
          <w:sz w:val="21"/>
          <w:szCs w:val="24"/>
        </w:rPr>
        <w:t xml:space="preserve"> contaba con 8.4</w:t>
      </w:r>
      <w:r w:rsidR="00DD0672">
        <w:rPr>
          <w:rFonts w:ascii="Myriad Pro" w:eastAsiaTheme="minorHAnsi" w:hAnsi="Myriad Pro" w:cstheme="minorBidi"/>
          <w:b w:val="0"/>
          <w:spacing w:val="0"/>
          <w:kern w:val="0"/>
          <w:sz w:val="21"/>
          <w:szCs w:val="24"/>
        </w:rPr>
        <w:t>56</w:t>
      </w:r>
      <w:r w:rsidRPr="005E22A9">
        <w:rPr>
          <w:rFonts w:ascii="Myriad Pro" w:eastAsiaTheme="minorHAnsi" w:hAnsi="Myriad Pro" w:cstheme="minorBidi"/>
          <w:b w:val="0"/>
          <w:spacing w:val="0"/>
          <w:kern w:val="0"/>
          <w:sz w:val="21"/>
          <w:szCs w:val="24"/>
        </w:rPr>
        <w:t xml:space="preserve"> empresas adheridas y con alrededor de 1,3 millones de afiliados, lo que representaba alrededor del 19,1% del total del sistema de cajas de compensación. Los afiliados se componen en cerca de 1,</w:t>
      </w:r>
      <w:r w:rsidR="0019206F">
        <w:rPr>
          <w:rFonts w:ascii="Myriad Pro" w:eastAsiaTheme="minorHAnsi" w:hAnsi="Myriad Pro" w:cstheme="minorBidi"/>
          <w:b w:val="0"/>
          <w:spacing w:val="0"/>
          <w:kern w:val="0"/>
          <w:sz w:val="21"/>
          <w:szCs w:val="24"/>
        </w:rPr>
        <w:t>2</w:t>
      </w:r>
      <w:r w:rsidRPr="005E22A9">
        <w:rPr>
          <w:rFonts w:ascii="Myriad Pro" w:eastAsiaTheme="minorHAnsi" w:hAnsi="Myriad Pro" w:cstheme="minorBidi"/>
          <w:b w:val="0"/>
          <w:spacing w:val="0"/>
          <w:kern w:val="0"/>
          <w:sz w:val="21"/>
          <w:szCs w:val="24"/>
        </w:rPr>
        <w:t xml:space="preserve"> millones de trabajadores activos y de 2</w:t>
      </w:r>
      <w:r w:rsidR="0096457F">
        <w:rPr>
          <w:rFonts w:ascii="Myriad Pro" w:eastAsiaTheme="minorHAnsi" w:hAnsi="Myriad Pro" w:cstheme="minorBidi"/>
          <w:b w:val="0"/>
          <w:spacing w:val="0"/>
          <w:kern w:val="0"/>
          <w:sz w:val="21"/>
          <w:szCs w:val="24"/>
        </w:rPr>
        <w:t>02</w:t>
      </w:r>
      <w:r w:rsidRPr="005E22A9">
        <w:rPr>
          <w:rFonts w:ascii="Myriad Pro" w:eastAsiaTheme="minorHAnsi" w:hAnsi="Myriad Pro" w:cstheme="minorBidi"/>
          <w:b w:val="0"/>
          <w:spacing w:val="0"/>
          <w:kern w:val="0"/>
          <w:sz w:val="21"/>
          <w:szCs w:val="24"/>
        </w:rPr>
        <w:t xml:space="preserve"> mil pensionados, quienes representan alrededor del 20,</w:t>
      </w:r>
      <w:r w:rsidR="00803063">
        <w:rPr>
          <w:rFonts w:ascii="Myriad Pro" w:eastAsiaTheme="minorHAnsi" w:hAnsi="Myriad Pro" w:cstheme="minorBidi"/>
          <w:b w:val="0"/>
          <w:spacing w:val="0"/>
          <w:kern w:val="0"/>
          <w:sz w:val="21"/>
          <w:szCs w:val="24"/>
        </w:rPr>
        <w:t>5</w:t>
      </w:r>
      <w:r w:rsidRPr="005E22A9">
        <w:rPr>
          <w:rFonts w:ascii="Myriad Pro" w:eastAsiaTheme="minorHAnsi" w:hAnsi="Myriad Pro" w:cstheme="minorBidi"/>
          <w:b w:val="0"/>
          <w:spacing w:val="0"/>
          <w:kern w:val="0"/>
          <w:sz w:val="21"/>
          <w:szCs w:val="24"/>
        </w:rPr>
        <w:t>% y 1</w:t>
      </w:r>
      <w:r w:rsidR="00803063">
        <w:rPr>
          <w:rFonts w:ascii="Myriad Pro" w:eastAsiaTheme="minorHAnsi" w:hAnsi="Myriad Pro" w:cstheme="minorBidi"/>
          <w:b w:val="0"/>
          <w:spacing w:val="0"/>
          <w:kern w:val="0"/>
          <w:sz w:val="21"/>
          <w:szCs w:val="24"/>
        </w:rPr>
        <w:t>4</w:t>
      </w:r>
      <w:r w:rsidRPr="005E22A9">
        <w:rPr>
          <w:rFonts w:ascii="Myriad Pro" w:eastAsiaTheme="minorHAnsi" w:hAnsi="Myriad Pro" w:cstheme="minorBidi"/>
          <w:b w:val="0"/>
          <w:spacing w:val="0"/>
          <w:kern w:val="0"/>
          <w:sz w:val="21"/>
          <w:szCs w:val="24"/>
        </w:rPr>
        <w:t xml:space="preserve">,4% del sistema, respectivamente. </w:t>
      </w:r>
      <w:r w:rsidRPr="003A70A7">
        <w:rPr>
          <w:rFonts w:ascii="Myriad Pro" w:eastAsiaTheme="minorHAnsi" w:hAnsi="Myriad Pro" w:cstheme="minorBidi"/>
          <w:bCs/>
          <w:spacing w:val="0"/>
          <w:kern w:val="0"/>
          <w:sz w:val="21"/>
          <w:szCs w:val="24"/>
        </w:rPr>
        <w:t>CCAF La Araucana</w:t>
      </w:r>
      <w:r w:rsidRPr="005E22A9">
        <w:rPr>
          <w:rFonts w:ascii="Myriad Pro" w:eastAsiaTheme="minorHAnsi" w:hAnsi="Myriad Pro" w:cstheme="minorBidi"/>
          <w:b w:val="0"/>
          <w:spacing w:val="0"/>
          <w:kern w:val="0"/>
          <w:sz w:val="21"/>
          <w:szCs w:val="24"/>
        </w:rPr>
        <w:t xml:space="preserve"> cuenta con la segunda mayor participación de mercado medido por afiliados.</w:t>
      </w:r>
      <w:r w:rsidR="00554DD7">
        <w:rPr>
          <w:rFonts w:ascii="Myriad Pro" w:eastAsiaTheme="minorHAnsi" w:hAnsi="Myriad Pro" w:cstheme="minorBidi"/>
          <w:b w:val="0"/>
          <w:spacing w:val="0"/>
          <w:kern w:val="0"/>
          <w:sz w:val="21"/>
          <w:szCs w:val="24"/>
        </w:rPr>
        <w:t xml:space="preserve"> Asimismo, en el mismo periodo, </w:t>
      </w:r>
      <w:r w:rsidRPr="005E22A9">
        <w:rPr>
          <w:rFonts w:ascii="Myriad Pro" w:eastAsiaTheme="minorHAnsi" w:hAnsi="Myriad Pro" w:cstheme="minorBidi"/>
          <w:b w:val="0"/>
          <w:spacing w:val="0"/>
          <w:kern w:val="0"/>
          <w:sz w:val="21"/>
          <w:szCs w:val="24"/>
        </w:rPr>
        <w:t>la corporación contaba con cobertura nacional, teniendo 6</w:t>
      </w:r>
      <w:r w:rsidR="00176B44">
        <w:rPr>
          <w:rFonts w:ascii="Myriad Pro" w:eastAsiaTheme="minorHAnsi" w:hAnsi="Myriad Pro" w:cstheme="minorBidi"/>
          <w:b w:val="0"/>
          <w:spacing w:val="0"/>
          <w:kern w:val="0"/>
          <w:sz w:val="21"/>
          <w:szCs w:val="24"/>
        </w:rPr>
        <w:t>7</w:t>
      </w:r>
      <w:r w:rsidRPr="005E22A9">
        <w:rPr>
          <w:rFonts w:ascii="Myriad Pro" w:eastAsiaTheme="minorHAnsi" w:hAnsi="Myriad Pro" w:cstheme="minorBidi"/>
          <w:b w:val="0"/>
          <w:spacing w:val="0"/>
          <w:kern w:val="0"/>
          <w:sz w:val="21"/>
          <w:szCs w:val="24"/>
        </w:rPr>
        <w:t xml:space="preserve"> sucursales en las principales ciudades del país.</w:t>
      </w:r>
    </w:p>
    <w:p w14:paraId="685ED82B" w14:textId="4B989EC1" w:rsidR="00B43FCD" w:rsidRDefault="005E22A9" w:rsidP="009B7716">
      <w:pPr>
        <w:pStyle w:val="Ttulo"/>
        <w:spacing w:after="120" w:line="240" w:lineRule="auto"/>
        <w:contextualSpacing w:val="0"/>
        <w:jc w:val="both"/>
        <w:rPr>
          <w:rFonts w:ascii="Myriad Pro" w:eastAsiaTheme="minorHAnsi" w:hAnsi="Myriad Pro" w:cstheme="minorBidi"/>
          <w:b w:val="0"/>
          <w:spacing w:val="0"/>
          <w:kern w:val="0"/>
          <w:sz w:val="21"/>
          <w:szCs w:val="24"/>
        </w:rPr>
      </w:pPr>
      <w:r w:rsidRPr="004927A5">
        <w:rPr>
          <w:rFonts w:ascii="Myriad Pro" w:eastAsiaTheme="minorHAnsi" w:hAnsi="Myriad Pro" w:cstheme="minorBidi"/>
          <w:b w:val="0"/>
          <w:spacing w:val="0"/>
          <w:kern w:val="0"/>
          <w:sz w:val="21"/>
          <w:szCs w:val="24"/>
        </w:rPr>
        <w:t>En el marco de los nuevos estatutos aprobados luego de la reorganización, la administración recae sobre un directorio</w:t>
      </w:r>
      <w:r w:rsidR="00B76507" w:rsidRPr="004927A5">
        <w:rPr>
          <w:rFonts w:ascii="Myriad Pro" w:eastAsiaTheme="minorHAnsi" w:hAnsi="Myriad Pro" w:cstheme="minorBidi"/>
          <w:b w:val="0"/>
          <w:spacing w:val="0"/>
          <w:kern w:val="0"/>
          <w:sz w:val="21"/>
          <w:szCs w:val="24"/>
        </w:rPr>
        <w:t xml:space="preserve"> de siete personas</w:t>
      </w:r>
      <w:r w:rsidRPr="004927A5">
        <w:rPr>
          <w:rFonts w:ascii="Myriad Pro" w:eastAsiaTheme="minorHAnsi" w:hAnsi="Myriad Pro" w:cstheme="minorBidi"/>
          <w:b w:val="0"/>
          <w:spacing w:val="0"/>
          <w:kern w:val="0"/>
          <w:sz w:val="21"/>
          <w:szCs w:val="24"/>
        </w:rPr>
        <w:t xml:space="preserve"> compuesto</w:t>
      </w:r>
      <w:r w:rsidR="00B76507" w:rsidRPr="004927A5">
        <w:rPr>
          <w:rFonts w:ascii="Myriad Pro" w:eastAsiaTheme="minorHAnsi" w:hAnsi="Myriad Pro" w:cstheme="minorBidi"/>
          <w:b w:val="0"/>
          <w:spacing w:val="0"/>
          <w:kern w:val="0"/>
          <w:sz w:val="21"/>
          <w:szCs w:val="24"/>
        </w:rPr>
        <w:t xml:space="preserve"> por</w:t>
      </w:r>
      <w:r w:rsidRPr="004927A5">
        <w:rPr>
          <w:rFonts w:ascii="Myriad Pro" w:eastAsiaTheme="minorHAnsi" w:hAnsi="Myriad Pro" w:cstheme="minorBidi"/>
          <w:b w:val="0"/>
          <w:spacing w:val="0"/>
          <w:kern w:val="0"/>
          <w:sz w:val="21"/>
          <w:szCs w:val="24"/>
        </w:rPr>
        <w:t xml:space="preserve"> representantes empresariales y laborales.</w:t>
      </w:r>
    </w:p>
    <w:p w14:paraId="390F3372" w14:textId="77777777" w:rsidR="00653F1C" w:rsidRPr="00653F1C" w:rsidRDefault="00653F1C" w:rsidP="00FB5CC5">
      <w:pPr>
        <w:spacing w:after="120"/>
      </w:pPr>
    </w:p>
    <w:p w14:paraId="2BE77B6B" w14:textId="77777777" w:rsidR="00C80384" w:rsidRPr="00176B44" w:rsidRDefault="00C80384" w:rsidP="009B7716">
      <w:pPr>
        <w:keepNext/>
        <w:spacing w:after="120"/>
        <w:jc w:val="both"/>
        <w:rPr>
          <w:rFonts w:eastAsiaTheme="majorEastAsia" w:cstheme="majorBidi"/>
          <w:b/>
          <w:sz w:val="44"/>
          <w:szCs w:val="32"/>
          <w:lang w:val="es-ES"/>
        </w:rPr>
      </w:pPr>
      <w:r w:rsidRPr="00176B44">
        <w:rPr>
          <w:rFonts w:eastAsiaTheme="majorEastAsia" w:cstheme="majorBidi"/>
          <w:b/>
          <w:sz w:val="44"/>
          <w:szCs w:val="32"/>
          <w:lang w:val="es-ES"/>
        </w:rPr>
        <w:t xml:space="preserve">Líneas de negocio </w:t>
      </w:r>
    </w:p>
    <w:p w14:paraId="2759EDD4" w14:textId="385C08C9" w:rsidR="0025140F" w:rsidRDefault="0025140F" w:rsidP="009B7716">
      <w:pPr>
        <w:keepNext/>
        <w:spacing w:after="120"/>
        <w:jc w:val="both"/>
      </w:pPr>
      <w:r>
        <w:t xml:space="preserve">Las líneas de negocio de las cajas de compensación se encuentran normadas por la Ley 18.833. De acuerdo con </w:t>
      </w:r>
      <w:r w:rsidR="001C25B5">
        <w:t>e</w:t>
      </w:r>
      <w:r>
        <w:t xml:space="preserve">sta, les corresponderá a dichas corporaciones la administración de las prestaciones de seguridad social. Para lograr este objetivo las cajas administran prestaciones familiares, subsidio de cesantía y por </w:t>
      </w:r>
      <w:r>
        <w:lastRenderedPageBreak/>
        <w:t>incapacidad laboral, las prestaciones de crédito social, el régimen de full ahorro, el régimen de prestaciones adicionales</w:t>
      </w:r>
      <w:r w:rsidR="00CB7377">
        <w:rPr>
          <w:rStyle w:val="Refdenotaalpie"/>
        </w:rPr>
        <w:footnoteReference w:id="16"/>
      </w:r>
      <w:r>
        <w:t xml:space="preserve"> y el régimen de prestaciones complementarias</w:t>
      </w:r>
      <w:r w:rsidR="0087020D">
        <w:rPr>
          <w:rStyle w:val="Refdenotaalpie"/>
        </w:rPr>
        <w:footnoteReference w:id="17"/>
      </w:r>
      <w:r>
        <w:t xml:space="preserve">, entre otros.   </w:t>
      </w:r>
    </w:p>
    <w:p w14:paraId="40059CBB" w14:textId="32ADEACE" w:rsidR="0025140F" w:rsidRDefault="0025140F" w:rsidP="009B7716">
      <w:pPr>
        <w:keepNext/>
        <w:spacing w:after="120"/>
        <w:jc w:val="both"/>
      </w:pPr>
      <w:r>
        <w:t xml:space="preserve">La línea de negocio que ha ido adquiriendo mayor importancia relativa son los créditos sociales que otorga la caja de compensación a sus afiliados. </w:t>
      </w:r>
      <w:r w:rsidRPr="007519B1">
        <w:t xml:space="preserve">A </w:t>
      </w:r>
      <w:r w:rsidRPr="00C429AF">
        <w:t>marzo de 202</w:t>
      </w:r>
      <w:r w:rsidR="00CC0835">
        <w:t>2</w:t>
      </w:r>
      <w:r w:rsidRPr="00C429AF">
        <w:t xml:space="preserve"> las cuentas por cobrar de la corporación atribuible a créditos </w:t>
      </w:r>
      <w:r w:rsidR="002F5640" w:rsidRPr="00C429AF">
        <w:t xml:space="preserve">sociales </w:t>
      </w:r>
      <w:r w:rsidRPr="00C429AF">
        <w:t>constituían alrededor del 5</w:t>
      </w:r>
      <w:r w:rsidR="00CC0835">
        <w:t>0,4</w:t>
      </w:r>
      <w:r w:rsidRPr="00C429AF">
        <w:t>% del total del activo.</w:t>
      </w:r>
    </w:p>
    <w:p w14:paraId="325A8D0C" w14:textId="77777777" w:rsidR="0025140F" w:rsidRDefault="0025140F" w:rsidP="009B7716">
      <w:pPr>
        <w:keepNext/>
        <w:spacing w:after="120"/>
        <w:jc w:val="both"/>
      </w:pPr>
      <w:r>
        <w:t xml:space="preserve">La corporación también posee líneas de negocio con ingresos que no presentan riesgos elevados asociados, dentro de los que se encuentran el pago que realiza el Estado a la corporación por la administración que ella efectúa a las prestaciones de seguridad social, las que son fijadas por ley y contemplan, asignación familiar, subsidio de cesantía y subsidio por incapacidad laboral. La normativa establece que este sistema se financia con los aportes fiscales fijados por la ley de presupuesto.    </w:t>
      </w:r>
    </w:p>
    <w:p w14:paraId="78BE9084" w14:textId="59E1CE6B" w:rsidR="00653F1C" w:rsidRDefault="0025140F" w:rsidP="00FB5CC5">
      <w:pPr>
        <w:spacing w:after="120"/>
      </w:pPr>
      <w:r>
        <w:t>Adicionalmente, la caja presta servicios a otras entidades de previsión, como recaudación de cotizaciones, pago de pensiones y otros afines; estas actividades se encuentran definidas en las leyes y reglamentos que regulan la</w:t>
      </w:r>
      <w:r w:rsidR="00D71854">
        <w:t xml:space="preserve"> </w:t>
      </w:r>
      <w:r>
        <w:t>actividad de las cajas. Las normas aludidas aseguran la focalización del giro de negocios de la corporación en el otorgamiento de créditos sociales y en las actividades adicionales antes mencionadas.</w:t>
      </w:r>
    </w:p>
    <w:p w14:paraId="46B8D08A" w14:textId="77777777" w:rsidR="00C312F7" w:rsidRDefault="00C312F7" w:rsidP="00FB5CC5">
      <w:pPr>
        <w:spacing w:after="120"/>
      </w:pPr>
    </w:p>
    <w:p w14:paraId="2406AE48" w14:textId="303F89DE" w:rsidR="00594FAF" w:rsidRPr="004D5C21" w:rsidRDefault="00087DAE" w:rsidP="00FB5CC5">
      <w:pPr>
        <w:pStyle w:val="Ttulo1"/>
        <w:spacing w:before="0" w:after="120" w:line="240" w:lineRule="auto"/>
        <w:rPr>
          <w:lang w:val="es-ES"/>
        </w:rPr>
      </w:pPr>
      <w:r>
        <w:rPr>
          <w:lang w:val="es-ES"/>
        </w:rPr>
        <w:t>Evolución de</w:t>
      </w:r>
      <w:r w:rsidRPr="009A06D2">
        <w:rPr>
          <w:i/>
          <w:iCs/>
          <w:lang w:val="es-ES"/>
        </w:rPr>
        <w:t xml:space="preserve"> stock </w:t>
      </w:r>
      <w:r>
        <w:rPr>
          <w:lang w:val="es-ES"/>
        </w:rPr>
        <w:t>de colocaciones</w:t>
      </w:r>
      <w:r w:rsidR="00344A54">
        <w:rPr>
          <w:rStyle w:val="Refdenotaalpie"/>
          <w:lang w:val="es-ES"/>
        </w:rPr>
        <w:footnoteReference w:id="18"/>
      </w:r>
    </w:p>
    <w:p w14:paraId="169C6B1E" w14:textId="27B6F4EA" w:rsidR="00365316" w:rsidRDefault="00365316" w:rsidP="00FB5CC5">
      <w:pPr>
        <w:spacing w:after="120"/>
        <w:jc w:val="both"/>
      </w:pPr>
      <w:r>
        <w:t xml:space="preserve">La </w:t>
      </w:r>
      <w:r w:rsidR="00073823">
        <w:rPr>
          <w:highlight w:val="yellow"/>
        </w:rPr>
        <w:fldChar w:fldCharType="begin"/>
      </w:r>
      <w:r w:rsidR="00073823">
        <w:instrText xml:space="preserve"> REF _Ref113234076 \h </w:instrText>
      </w:r>
      <w:r w:rsidR="00073823">
        <w:rPr>
          <w:highlight w:val="yellow"/>
        </w:rPr>
      </w:r>
      <w:r w:rsidR="00073823">
        <w:rPr>
          <w:highlight w:val="yellow"/>
        </w:rPr>
        <w:fldChar w:fldCharType="separate"/>
      </w:r>
      <w:r w:rsidR="007F4B16">
        <w:t xml:space="preserve">Ilustración </w:t>
      </w:r>
      <w:r w:rsidR="007F4B16">
        <w:rPr>
          <w:noProof/>
        </w:rPr>
        <w:t>1</w:t>
      </w:r>
      <w:r w:rsidR="00073823">
        <w:rPr>
          <w:highlight w:val="yellow"/>
        </w:rPr>
        <w:fldChar w:fldCharType="end"/>
      </w:r>
      <w:r w:rsidR="00073823">
        <w:t xml:space="preserve"> </w:t>
      </w:r>
      <w:r w:rsidR="00D978F5" w:rsidRPr="00D978F5">
        <w:t xml:space="preserve">muestra las colocaciones de la emisora, </w:t>
      </w:r>
      <w:r w:rsidR="00813D57">
        <w:t>las que en los últimos años han presen</w:t>
      </w:r>
      <w:r w:rsidR="00E50CD1">
        <w:t>t</w:t>
      </w:r>
      <w:r w:rsidR="009058E7">
        <w:t xml:space="preserve">ado un </w:t>
      </w:r>
      <w:r w:rsidR="00077682">
        <w:t>comportamiento relativamente estable</w:t>
      </w:r>
      <w:r w:rsidR="00E21A27">
        <w:t>. No obstante, ent</w:t>
      </w:r>
      <w:r w:rsidR="00A377A3">
        <w:t>re junio de 2020 y septiembre de 2021 se presentó</w:t>
      </w:r>
      <w:r w:rsidR="00CD6CA1">
        <w:t xml:space="preserve"> un decrecimiento en las colocaciones producto de la crisis sanitaria</w:t>
      </w:r>
      <w:r w:rsidR="00620359">
        <w:t xml:space="preserve">. Sin embargo, la compañía ha logrado revertir dicha situación, </w:t>
      </w:r>
      <w:r w:rsidR="00517D51">
        <w:t>logrando incrementar</w:t>
      </w:r>
      <w:r w:rsidR="00447AE2">
        <w:t xml:space="preserve"> paulatinamente su nivel de colocaciones, </w:t>
      </w:r>
      <w:r w:rsidR="000268E4">
        <w:t xml:space="preserve">totalizando a marzo de 2022 colocaciones por $ </w:t>
      </w:r>
      <w:r w:rsidR="00132E6D">
        <w:t>280 mil millones (</w:t>
      </w:r>
      <w:r w:rsidR="00752EE5">
        <w:t>71,9% corresponde a préstamos a trabajadores, un 27,9%</w:t>
      </w:r>
      <w:r w:rsidR="00D35AAA">
        <w:t xml:space="preserve"> y el resto corresponde a otras deudas).</w:t>
      </w:r>
    </w:p>
    <w:p w14:paraId="6C7185D4" w14:textId="77777777" w:rsidR="00D35AAA" w:rsidRDefault="00365316" w:rsidP="00D35AAA">
      <w:pPr>
        <w:keepNext/>
        <w:spacing w:after="120"/>
        <w:jc w:val="center"/>
      </w:pPr>
      <w:r>
        <w:rPr>
          <w:noProof/>
        </w:rPr>
        <w:lastRenderedPageBreak/>
        <w:drawing>
          <wp:inline distT="0" distB="0" distL="0" distR="0" wp14:anchorId="50752632" wp14:editId="758FF371">
            <wp:extent cx="5760000" cy="2880000"/>
            <wp:effectExtent l="0" t="0" r="0" b="0"/>
            <wp:docPr id="12" name="Gráfico 12">
              <a:extLst xmlns:a="http://schemas.openxmlformats.org/drawingml/2006/main">
                <a:ext uri="{FF2B5EF4-FFF2-40B4-BE49-F238E27FC236}">
                  <a16:creationId xmlns:a16="http://schemas.microsoft.com/office/drawing/2014/main" id="{BD821094-9BEB-48F9-A3C6-AB646BD420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DA0056A" w14:textId="2C79347B" w:rsidR="005E7C00" w:rsidRPr="00D71854" w:rsidRDefault="00D35AAA" w:rsidP="00D71854">
      <w:pPr>
        <w:pStyle w:val="Descripcin"/>
        <w:spacing w:after="120"/>
        <w:rPr>
          <w:rFonts w:ascii="Verdana" w:eastAsia="Times New Roman" w:hAnsi="Verdana" w:cs="Times New Roman"/>
          <w:color w:val="auto"/>
          <w:lang w:val="es-ES" w:eastAsia="es-ES"/>
        </w:rPr>
      </w:pPr>
      <w:bookmarkStart w:id="1" w:name="_Ref113234076"/>
      <w:r>
        <w:t xml:space="preserve">Ilustración </w:t>
      </w:r>
      <w:fldSimple w:instr=" SEQ Ilustración \* ARABIC ">
        <w:r w:rsidR="007F4B16">
          <w:rPr>
            <w:noProof/>
          </w:rPr>
          <w:t>1</w:t>
        </w:r>
      </w:fldSimple>
      <w:bookmarkEnd w:id="1"/>
      <w:r>
        <w:t>: Stock de colocaciones</w:t>
      </w:r>
      <w:r w:rsidR="00653F1C">
        <w:br/>
      </w:r>
    </w:p>
    <w:p w14:paraId="36FB8FF0" w14:textId="48DB4A7B" w:rsidR="0048421B" w:rsidRDefault="00131204" w:rsidP="00771374">
      <w:pPr>
        <w:jc w:val="both"/>
      </w:pPr>
      <w:r w:rsidRPr="00C429AF">
        <w:t>Cabe señalar</w:t>
      </w:r>
      <w:r w:rsidR="001D1F35" w:rsidRPr="00C429AF">
        <w:t>,</w:t>
      </w:r>
      <w:r w:rsidRPr="00C429AF">
        <w:t xml:space="preserve"> que a marzo de 202</w:t>
      </w:r>
      <w:r w:rsidR="00D71854">
        <w:t>2</w:t>
      </w:r>
      <w:r w:rsidRPr="00C429AF">
        <w:t xml:space="preserve"> la cartera de créditos hipotecarios representó un 0,6% del total de las colocaciones de </w:t>
      </w:r>
      <w:r w:rsidRPr="00C429AF">
        <w:rPr>
          <w:b/>
          <w:bCs/>
        </w:rPr>
        <w:t>CCAF La Araucana</w:t>
      </w:r>
      <w:r w:rsidRPr="00C429AF">
        <w:t>.</w:t>
      </w:r>
    </w:p>
    <w:p w14:paraId="6A7BA2A9" w14:textId="77777777" w:rsidR="00D71854" w:rsidRDefault="00D71854" w:rsidP="00771374">
      <w:pPr>
        <w:jc w:val="both"/>
      </w:pPr>
    </w:p>
    <w:p w14:paraId="6D8C24D5" w14:textId="39E4E941" w:rsidR="006722A6" w:rsidRDefault="006722A6" w:rsidP="00D71854">
      <w:pPr>
        <w:pStyle w:val="Ttulo1"/>
        <w:spacing w:before="0" w:after="120" w:line="240" w:lineRule="auto"/>
        <w:rPr>
          <w:lang w:val="es-ES"/>
        </w:rPr>
      </w:pPr>
      <w:r>
        <w:rPr>
          <w:lang w:val="es-ES"/>
        </w:rPr>
        <w:t>Administración de créditos sociales</w:t>
      </w:r>
    </w:p>
    <w:p w14:paraId="3D7C1236" w14:textId="6756413D" w:rsidR="005E7C00" w:rsidRPr="0089028D" w:rsidRDefault="00CE71AF" w:rsidP="00D71854">
      <w:pPr>
        <w:pStyle w:val="Ttulo"/>
        <w:spacing w:after="120" w:line="240" w:lineRule="auto"/>
      </w:pPr>
      <w:proofErr w:type="spellStart"/>
      <w:r>
        <w:t>Originación</w:t>
      </w:r>
      <w:proofErr w:type="spellEnd"/>
      <w:r>
        <w:t xml:space="preserve"> y cobranza</w:t>
      </w:r>
    </w:p>
    <w:p w14:paraId="5AB133F7" w14:textId="77C43571" w:rsidR="00613C4F" w:rsidRDefault="00613C4F" w:rsidP="00D71854">
      <w:pPr>
        <w:spacing w:after="120"/>
        <w:jc w:val="both"/>
      </w:pPr>
      <w:r w:rsidRPr="00F40D3F">
        <w:rPr>
          <w:b/>
          <w:bCs/>
        </w:rPr>
        <w:t>CCAF La Araucana</w:t>
      </w:r>
      <w:r>
        <w:t xml:space="preserve"> para apoyar el proceso de evaluación del riesgo de crédito a trabajadores, utiliza el modelo </w:t>
      </w:r>
      <w:proofErr w:type="spellStart"/>
      <w:r w:rsidRPr="005F38F0">
        <w:rPr>
          <w:i/>
          <w:iCs/>
        </w:rPr>
        <w:t>CreditScoring</w:t>
      </w:r>
      <w:proofErr w:type="spellEnd"/>
      <w:r>
        <w:t xml:space="preserve">, el cual determina la probabilidad de incumplimiento de pago del afiliado solicitante de Crédito Social. Esta herramienta define la clasificación de riesgo para cada empresa afiliada dependiendo de la probabilidad de morosidad, la </w:t>
      </w:r>
      <w:r w:rsidR="005F38F0">
        <w:t>cual,</w:t>
      </w:r>
      <w:r>
        <w:t xml:space="preserve"> a su vez, determina las condiciones para el otorgamiento de créditos a cada trabajador.</w:t>
      </w:r>
    </w:p>
    <w:p w14:paraId="77B0A864" w14:textId="4EC1FBE7" w:rsidR="00613C4F" w:rsidRDefault="00613C4F" w:rsidP="00D71854">
      <w:pPr>
        <w:spacing w:after="120"/>
        <w:jc w:val="both"/>
      </w:pPr>
      <w:r>
        <w:t xml:space="preserve">La Gestión de cobranza de la </w:t>
      </w:r>
      <w:r w:rsidR="00DF0979">
        <w:rPr>
          <w:b/>
          <w:bCs/>
        </w:rPr>
        <w:t xml:space="preserve">CCAF La </w:t>
      </w:r>
      <w:r w:rsidRPr="00F40D3F">
        <w:rPr>
          <w:b/>
          <w:bCs/>
        </w:rPr>
        <w:t>Araucana</w:t>
      </w:r>
      <w:r>
        <w:t xml:space="preserve"> comprende dos grandes grupos, Personas y Empresas.</w:t>
      </w:r>
      <w:r w:rsidR="002342A1">
        <w:t xml:space="preserve"> </w:t>
      </w:r>
      <w:r>
        <w:t xml:space="preserve">En el caso de las personas, se debe destacar que ésta tiene como objetivo lograr normalizar la morosidad a través de un producto (plan de pago) que se adapte a la nueva realidad que enfrentan. Por ello el foco en la gestión está puesto en indagar acerca de la situación que originó la mora (causa basal) para entregar la solución que se estime más correcta. </w:t>
      </w:r>
    </w:p>
    <w:p w14:paraId="4F38ECED" w14:textId="77777777" w:rsidR="00613C4F" w:rsidRDefault="00613C4F" w:rsidP="00D71854">
      <w:pPr>
        <w:spacing w:after="120"/>
        <w:jc w:val="both"/>
      </w:pPr>
      <w:r w:rsidRPr="00F40D3F">
        <w:rPr>
          <w:b/>
          <w:bCs/>
        </w:rPr>
        <w:t>CCAF La Araucana</w:t>
      </w:r>
      <w:r>
        <w:t xml:space="preserve"> posee diversos productos de mitigación (reprogramaciones), diferenciados de acuerdo a la problemática que pudieran enfrentar los afiliados: cesantía, enfermedades graves, disminución de ingresos, siniestros (excluyendo salud), desastres naturales e insolvencia, y, en lo más reciente, suspensión de contrato de trabajo. </w:t>
      </w:r>
    </w:p>
    <w:p w14:paraId="55E62FD1" w14:textId="77777777" w:rsidR="00613C4F" w:rsidRDefault="00613C4F" w:rsidP="00D71854">
      <w:pPr>
        <w:spacing w:after="120"/>
        <w:jc w:val="both"/>
      </w:pPr>
      <w:r>
        <w:t xml:space="preserve">A continuación, un resumen de las principales características de la cobranza a personas y empresas: </w:t>
      </w:r>
    </w:p>
    <w:p w14:paraId="7AC53818" w14:textId="7158BC0B" w:rsidR="00613C4F" w:rsidRDefault="00613C4F" w:rsidP="00D71854">
      <w:pPr>
        <w:spacing w:after="120"/>
        <w:jc w:val="both"/>
      </w:pPr>
      <w:r w:rsidRPr="001466DF">
        <w:rPr>
          <w:i/>
          <w:iCs/>
        </w:rPr>
        <w:lastRenderedPageBreak/>
        <w:t>Cobranza Interna a trabajadores y pensionados morosos</w:t>
      </w:r>
      <w:r>
        <w:t xml:space="preserve">: a través de normalización de deudas, pagos directos, gestión de cobertura de seguros asociados y reprogramaciones. </w:t>
      </w:r>
    </w:p>
    <w:p w14:paraId="7B05E262" w14:textId="77777777" w:rsidR="00613C4F" w:rsidRDefault="00613C4F" w:rsidP="00D71854">
      <w:pPr>
        <w:spacing w:after="120"/>
        <w:jc w:val="both"/>
      </w:pPr>
      <w:r w:rsidRPr="001466DF">
        <w:rPr>
          <w:i/>
          <w:iCs/>
        </w:rPr>
        <w:t>Cobranza Interna a empresas</w:t>
      </w:r>
      <w:r>
        <w:t xml:space="preserve">: a través de gestión de cobros de nóminas de crédito social descontadas a sus trabajadores y no remesadas a la Caja, gestión de acuerdos de pago, cobranza judicial de deuda previsional y publicación en el Boletín Laboral. </w:t>
      </w:r>
    </w:p>
    <w:p w14:paraId="2BCAB892" w14:textId="77777777" w:rsidR="00613C4F" w:rsidRDefault="00613C4F" w:rsidP="00D71854">
      <w:pPr>
        <w:spacing w:after="120"/>
        <w:jc w:val="both"/>
      </w:pPr>
      <w:r w:rsidRPr="001466DF">
        <w:rPr>
          <w:i/>
          <w:iCs/>
        </w:rPr>
        <w:t>Cobranza Externa a trabajadores</w:t>
      </w:r>
      <w:r>
        <w:t xml:space="preserve">: a través de asignación de carteras a empresas especialistas en industria de Cajas. </w:t>
      </w:r>
    </w:p>
    <w:p w14:paraId="012BE516" w14:textId="1B179355" w:rsidR="003E37C6" w:rsidRDefault="00613C4F" w:rsidP="00D71854">
      <w:pPr>
        <w:spacing w:after="120"/>
        <w:jc w:val="both"/>
      </w:pPr>
      <w:r w:rsidRPr="001466DF">
        <w:rPr>
          <w:i/>
          <w:iCs/>
        </w:rPr>
        <w:t>Cobranza Judicial selectiva a trabajadores y empresas</w:t>
      </w:r>
      <w:r>
        <w:t>: cuando la estrategia así lo requiera.</w:t>
      </w:r>
    </w:p>
    <w:p w14:paraId="597C571E" w14:textId="53330B59" w:rsidR="00837870" w:rsidRDefault="001D1F35" w:rsidP="00D71854">
      <w:pPr>
        <w:spacing w:after="120"/>
        <w:jc w:val="both"/>
        <w:rPr>
          <w:rFonts w:ascii="Myriad Pro Light" w:eastAsiaTheme="majorEastAsia" w:hAnsi="Myriad Pro Light" w:cstheme="majorBidi"/>
          <w:b/>
          <w:spacing w:val="-10"/>
          <w:kern w:val="28"/>
          <w:sz w:val="28"/>
          <w:szCs w:val="56"/>
        </w:rPr>
      </w:pPr>
      <w:r>
        <w:rPr>
          <w:rFonts w:ascii="Myriad Pro Light" w:eastAsiaTheme="majorEastAsia" w:hAnsi="Myriad Pro Light" w:cstheme="majorBidi"/>
          <w:b/>
          <w:spacing w:val="-10"/>
          <w:kern w:val="28"/>
          <w:sz w:val="28"/>
          <w:szCs w:val="56"/>
        </w:rPr>
        <w:br/>
      </w:r>
      <w:r w:rsidR="00837870" w:rsidRPr="00837870">
        <w:rPr>
          <w:rFonts w:ascii="Myriad Pro Light" w:eastAsiaTheme="majorEastAsia" w:hAnsi="Myriad Pro Light" w:cstheme="majorBidi"/>
          <w:b/>
          <w:spacing w:val="-10"/>
          <w:kern w:val="28"/>
          <w:sz w:val="28"/>
          <w:szCs w:val="56"/>
        </w:rPr>
        <w:t>Control y auditoría interna</w:t>
      </w:r>
    </w:p>
    <w:p w14:paraId="6B816F93" w14:textId="77777777" w:rsidR="001D1F35" w:rsidRDefault="001D1F35" w:rsidP="00D71854">
      <w:pPr>
        <w:keepNext/>
        <w:spacing w:after="120"/>
        <w:jc w:val="both"/>
      </w:pPr>
      <w:r>
        <w:t xml:space="preserve">La contraloría de la Caja, en su área de auditoría, se encarga de la revisión de todos los procesos levantados, enfocando su trabajo en la identificación y medición de los riesgos de estos procesos. Para ello trabaja con un “mapeo” o matriz efectuada por la unidad de operaciones de la caja. Contraloría identifica los procesos críticos de la matriz e informa del estado de éstos al comité de auditoría, quien decide respecto de las medidas a seguir en la eventualidad que se detecten riesgos. </w:t>
      </w:r>
    </w:p>
    <w:p w14:paraId="5FA25C8D" w14:textId="77777777" w:rsidR="001D1F35" w:rsidRDefault="001D1F35" w:rsidP="00D71854">
      <w:pPr>
        <w:keepNext/>
        <w:spacing w:after="120"/>
        <w:jc w:val="both"/>
      </w:pPr>
      <w:r>
        <w:t xml:space="preserve">La institución ha formalizado la función de cumplimento con el objeto de que esta unidad se encargue de velar para que los procesos se cumplan en conformidad con la legislación vigente y con las exigencias de los distintos reguladores. </w:t>
      </w:r>
    </w:p>
    <w:p w14:paraId="2077F85D" w14:textId="63941AD7" w:rsidR="006B7803" w:rsidRDefault="001D1F35" w:rsidP="00D71854">
      <w:pPr>
        <w:spacing w:after="120"/>
        <w:jc w:val="both"/>
      </w:pPr>
      <w:r>
        <w:t xml:space="preserve">Los sistemas de información que soportan los procesos operativos de </w:t>
      </w:r>
      <w:r w:rsidRPr="009E706B">
        <w:rPr>
          <w:b/>
          <w:bCs/>
        </w:rPr>
        <w:t>CCAF La Araucana</w:t>
      </w:r>
      <w:r>
        <w:t xml:space="preserve"> se sostienen sobre plataformas de clase mundial para la administración de la cartera de créditos sociales y para la gestión administrativa, financiera y contable de la organización. Los procesos relacionados a la gestión de los regímenes</w:t>
      </w:r>
      <w:r w:rsidR="009E706B">
        <w:t xml:space="preserve"> </w:t>
      </w:r>
      <w:r w:rsidR="006B7803">
        <w:t>legales (que incluye las licencias médicas y la asignación familiar, entre otras prestaciones) se soportan sobre sistemas legados desarrollados específicamente para las necesidades de la Caja.</w:t>
      </w:r>
    </w:p>
    <w:p w14:paraId="57CE6D42" w14:textId="77777777" w:rsidR="009E706B" w:rsidRDefault="006B7803" w:rsidP="00D71854">
      <w:pPr>
        <w:spacing w:after="120"/>
        <w:jc w:val="both"/>
      </w:pPr>
      <w:r>
        <w:t>La infraestructura tecnológica se sostiene en ambientes redundantes, de alta disponibilidad y son operados mediante prácticas de explotación, soporte y seguridad estándares de la industria.</w:t>
      </w:r>
    </w:p>
    <w:p w14:paraId="7B87E46F" w14:textId="77777777" w:rsidR="000C3D8E" w:rsidRDefault="000C3D8E" w:rsidP="009E706B">
      <w:pPr>
        <w:spacing w:after="120"/>
        <w:jc w:val="both"/>
      </w:pPr>
    </w:p>
    <w:p w14:paraId="0B8B60B6" w14:textId="2A821D83" w:rsidR="007608D9" w:rsidRDefault="00B808ED" w:rsidP="009E706B">
      <w:pPr>
        <w:spacing w:after="120"/>
        <w:jc w:val="both"/>
      </w:pPr>
      <w:r w:rsidRPr="00B808ED">
        <w:rPr>
          <w:rFonts w:eastAsiaTheme="majorEastAsia" w:cstheme="majorBidi"/>
          <w:b/>
          <w:sz w:val="44"/>
          <w:szCs w:val="32"/>
          <w:lang w:val="es-ES"/>
        </w:rPr>
        <w:t>Comportamiento de la cartera de colocaciones</w:t>
      </w:r>
    </w:p>
    <w:p w14:paraId="05B6D9D2" w14:textId="47623A73" w:rsidR="00450A44" w:rsidRPr="00294A32" w:rsidRDefault="00B808ED" w:rsidP="000C3D8E">
      <w:pPr>
        <w:keepNext/>
        <w:spacing w:after="120"/>
        <w:rPr>
          <w:rFonts w:ascii="Myriad Pro Light" w:eastAsiaTheme="majorEastAsia" w:hAnsi="Myriad Pro Light" w:cstheme="majorBidi"/>
          <w:b/>
          <w:spacing w:val="-10"/>
          <w:kern w:val="28"/>
          <w:sz w:val="28"/>
          <w:szCs w:val="56"/>
        </w:rPr>
      </w:pPr>
      <w:r>
        <w:rPr>
          <w:rFonts w:ascii="Myriad Pro Light" w:eastAsiaTheme="majorEastAsia" w:hAnsi="Myriad Pro Light" w:cstheme="majorBidi"/>
          <w:b/>
          <w:spacing w:val="-10"/>
          <w:kern w:val="28"/>
          <w:sz w:val="28"/>
          <w:szCs w:val="56"/>
        </w:rPr>
        <w:t>Morosidad</w:t>
      </w:r>
    </w:p>
    <w:p w14:paraId="6D379C1D" w14:textId="1F5D814E" w:rsidR="00F57AAB" w:rsidRDefault="00580913" w:rsidP="00504523">
      <w:pPr>
        <w:keepNext/>
        <w:spacing w:after="120"/>
        <w:jc w:val="both"/>
      </w:pPr>
      <w:r>
        <w:t>En cuanto a la distribución de la cartera</w:t>
      </w:r>
      <w:r w:rsidR="00D9641A">
        <w:t xml:space="preserve"> morosa, como porcentaje del </w:t>
      </w:r>
      <w:r w:rsidR="00D9641A">
        <w:rPr>
          <w:i/>
          <w:iCs/>
        </w:rPr>
        <w:t xml:space="preserve">stock </w:t>
      </w:r>
      <w:r w:rsidR="00D9641A">
        <w:t>de colocaciones</w:t>
      </w:r>
      <w:r w:rsidR="00662D08">
        <w:t xml:space="preserve">, </w:t>
      </w:r>
      <w:r w:rsidR="00592115">
        <w:t>la cartera al día</w:t>
      </w:r>
      <w:r w:rsidR="00F57AAB">
        <w:t xml:space="preserve"> </w:t>
      </w:r>
      <w:r w:rsidR="00922A6F">
        <w:t>se ha mantenido, salvo excepciones, en niveles por sobre el 80%</w:t>
      </w:r>
      <w:r w:rsidR="00F57AAB">
        <w:t xml:space="preserve"> en los últimos años</w:t>
      </w:r>
      <w:r w:rsidR="007F64BC">
        <w:t xml:space="preserve">. </w:t>
      </w:r>
      <w:r w:rsidR="00C05DDA">
        <w:t xml:space="preserve">A marzo de 2022, el indicador </w:t>
      </w:r>
      <w:r w:rsidR="005747F0">
        <w:t xml:space="preserve">alcanzó un 84,2%, </w:t>
      </w:r>
      <w:r w:rsidR="00D7267E">
        <w:t>siendo este el máximo nivel alcanzado en los últimos tres años. La</w:t>
      </w:r>
      <w:r w:rsidR="00504523">
        <w:t xml:space="preserve"> </w:t>
      </w:r>
      <w:r w:rsidR="00504523">
        <w:fldChar w:fldCharType="begin"/>
      </w:r>
      <w:r w:rsidR="00504523">
        <w:instrText xml:space="preserve"> REF _Ref113234220 \h </w:instrText>
      </w:r>
      <w:r w:rsidR="00504523">
        <w:fldChar w:fldCharType="separate"/>
      </w:r>
      <w:r w:rsidR="007F4B16">
        <w:t xml:space="preserve">Ilustración </w:t>
      </w:r>
      <w:r w:rsidR="007F4B16">
        <w:rPr>
          <w:noProof/>
        </w:rPr>
        <w:t>2</w:t>
      </w:r>
      <w:r w:rsidR="00504523">
        <w:fldChar w:fldCharType="end"/>
      </w:r>
      <w:r w:rsidR="00D7267E">
        <w:t xml:space="preserve"> muestra la evolución del indicador en </w:t>
      </w:r>
      <w:r w:rsidR="00294A32">
        <w:t>diferentes tramos.</w:t>
      </w:r>
    </w:p>
    <w:p w14:paraId="4520FDC7" w14:textId="77777777" w:rsidR="00EB6426" w:rsidRDefault="00EB6426" w:rsidP="00294A32">
      <w:pPr>
        <w:pStyle w:val="Descripcin"/>
        <w:jc w:val="left"/>
      </w:pPr>
      <w:bookmarkStart w:id="2" w:name="_Ref78964915"/>
    </w:p>
    <w:p w14:paraId="3D06984B" w14:textId="77777777" w:rsidR="00C9573C" w:rsidRDefault="00EB6426" w:rsidP="00C9573C">
      <w:pPr>
        <w:pStyle w:val="Descripcin"/>
        <w:keepNext/>
        <w:spacing w:after="120"/>
      </w:pPr>
      <w:r>
        <w:rPr>
          <w:noProof/>
        </w:rPr>
        <w:lastRenderedPageBreak/>
        <w:drawing>
          <wp:inline distT="0" distB="0" distL="0" distR="0" wp14:anchorId="2001175E" wp14:editId="629CCA09">
            <wp:extent cx="5760000" cy="2880000"/>
            <wp:effectExtent l="0" t="0" r="0" b="0"/>
            <wp:docPr id="14" name="Gráfico 14">
              <a:extLst xmlns:a="http://schemas.openxmlformats.org/drawingml/2006/main">
                <a:ext uri="{FF2B5EF4-FFF2-40B4-BE49-F238E27FC236}">
                  <a16:creationId xmlns:a16="http://schemas.microsoft.com/office/drawing/2014/main" id="{CAB35CCB-098B-4708-949E-56014B11B2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165C692" w14:textId="7D2EBA51" w:rsidR="00EB6426" w:rsidRDefault="00C9573C" w:rsidP="00C9573C">
      <w:pPr>
        <w:pStyle w:val="Descripcin"/>
        <w:spacing w:after="120"/>
      </w:pPr>
      <w:bookmarkStart w:id="3" w:name="_Ref113234220"/>
      <w:r>
        <w:t xml:space="preserve">Ilustración </w:t>
      </w:r>
      <w:fldSimple w:instr=" SEQ Ilustración \* ARABIC ">
        <w:r w:rsidR="007F4B16">
          <w:rPr>
            <w:noProof/>
          </w:rPr>
          <w:t>2</w:t>
        </w:r>
      </w:fldSimple>
      <w:bookmarkEnd w:id="3"/>
      <w:r>
        <w:t>: Morosidad</w:t>
      </w:r>
    </w:p>
    <w:bookmarkEnd w:id="2"/>
    <w:p w14:paraId="1C39F4ED" w14:textId="77777777" w:rsidR="00D9598C" w:rsidRDefault="00D9598C" w:rsidP="007303DA">
      <w:pPr>
        <w:keepNext/>
        <w:rPr>
          <w:rFonts w:ascii="Myriad Pro Light" w:eastAsiaTheme="majorEastAsia" w:hAnsi="Myriad Pro Light" w:cstheme="majorBidi"/>
          <w:b/>
          <w:spacing w:val="-10"/>
          <w:kern w:val="28"/>
          <w:sz w:val="28"/>
          <w:szCs w:val="56"/>
        </w:rPr>
      </w:pPr>
    </w:p>
    <w:p w14:paraId="01FF8766" w14:textId="1E408F64" w:rsidR="00F969CE" w:rsidRDefault="00F969CE" w:rsidP="00E774D3">
      <w:pPr>
        <w:keepNext/>
        <w:spacing w:after="240"/>
        <w:rPr>
          <w:rFonts w:ascii="Myriad Pro Light" w:eastAsiaTheme="majorEastAsia" w:hAnsi="Myriad Pro Light" w:cstheme="majorBidi"/>
          <w:b/>
          <w:spacing w:val="-10"/>
          <w:kern w:val="28"/>
          <w:sz w:val="28"/>
          <w:szCs w:val="56"/>
        </w:rPr>
      </w:pPr>
      <w:r>
        <w:rPr>
          <w:rFonts w:ascii="Myriad Pro Light" w:eastAsiaTheme="majorEastAsia" w:hAnsi="Myriad Pro Light" w:cstheme="majorBidi"/>
          <w:b/>
          <w:spacing w:val="-10"/>
          <w:kern w:val="28"/>
          <w:sz w:val="28"/>
          <w:szCs w:val="56"/>
        </w:rPr>
        <w:t>Tasa de pago</w:t>
      </w:r>
    </w:p>
    <w:p w14:paraId="4EC74447" w14:textId="77777777" w:rsidR="00F454C0" w:rsidRDefault="007048D6" w:rsidP="00225A48">
      <w:pPr>
        <w:pStyle w:val="Descripcin"/>
        <w:jc w:val="both"/>
        <w:rPr>
          <w:i w:val="0"/>
          <w:iCs w:val="0"/>
          <w:sz w:val="21"/>
          <w:szCs w:val="24"/>
        </w:rPr>
      </w:pPr>
      <w:r>
        <w:rPr>
          <w:i w:val="0"/>
          <w:iCs w:val="0"/>
          <w:sz w:val="21"/>
          <w:szCs w:val="24"/>
        </w:rPr>
        <w:t>Respecto a la tasa</w:t>
      </w:r>
      <w:r w:rsidR="00A36ECB">
        <w:rPr>
          <w:i w:val="0"/>
          <w:iCs w:val="0"/>
          <w:sz w:val="21"/>
          <w:szCs w:val="24"/>
        </w:rPr>
        <w:t xml:space="preserve"> de pago que ha registrado la </w:t>
      </w:r>
      <w:r w:rsidR="00A36ECB" w:rsidRPr="006E6769">
        <w:rPr>
          <w:b/>
          <w:bCs/>
          <w:i w:val="0"/>
          <w:iCs w:val="0"/>
          <w:sz w:val="21"/>
          <w:szCs w:val="24"/>
        </w:rPr>
        <w:t>CCAF La Araucana</w:t>
      </w:r>
      <w:r w:rsidR="00E4105B">
        <w:rPr>
          <w:i w:val="0"/>
          <w:iCs w:val="0"/>
          <w:sz w:val="21"/>
          <w:szCs w:val="24"/>
        </w:rPr>
        <w:t>, esta ha presentado</w:t>
      </w:r>
      <w:r w:rsidR="0045349C">
        <w:rPr>
          <w:i w:val="0"/>
          <w:iCs w:val="0"/>
          <w:sz w:val="21"/>
          <w:szCs w:val="24"/>
        </w:rPr>
        <w:t xml:space="preserve"> históricamente</w:t>
      </w:r>
      <w:r w:rsidR="00AA2437">
        <w:rPr>
          <w:i w:val="0"/>
          <w:iCs w:val="0"/>
          <w:sz w:val="21"/>
          <w:szCs w:val="24"/>
        </w:rPr>
        <w:t>, hasta 2019,</w:t>
      </w:r>
      <w:r w:rsidR="00963379">
        <w:rPr>
          <w:i w:val="0"/>
          <w:iCs w:val="0"/>
          <w:sz w:val="21"/>
          <w:szCs w:val="24"/>
        </w:rPr>
        <w:t xml:space="preserve"> </w:t>
      </w:r>
      <w:r w:rsidR="00AA2437">
        <w:rPr>
          <w:i w:val="0"/>
          <w:iCs w:val="0"/>
          <w:sz w:val="21"/>
          <w:szCs w:val="24"/>
        </w:rPr>
        <w:t>nive</w:t>
      </w:r>
      <w:r w:rsidR="0045349C">
        <w:rPr>
          <w:i w:val="0"/>
          <w:iCs w:val="0"/>
          <w:sz w:val="21"/>
          <w:szCs w:val="24"/>
        </w:rPr>
        <w:t>les por sobre el 4</w:t>
      </w:r>
      <w:r w:rsidR="00F40D8D">
        <w:rPr>
          <w:i w:val="0"/>
          <w:iCs w:val="0"/>
          <w:sz w:val="21"/>
          <w:szCs w:val="24"/>
        </w:rPr>
        <w:t>%</w:t>
      </w:r>
      <w:r w:rsidR="0078677C">
        <w:rPr>
          <w:i w:val="0"/>
          <w:iCs w:val="0"/>
          <w:sz w:val="21"/>
          <w:szCs w:val="24"/>
        </w:rPr>
        <w:t>.</w:t>
      </w:r>
      <w:r w:rsidR="00F40D8D">
        <w:rPr>
          <w:i w:val="0"/>
          <w:iCs w:val="0"/>
          <w:sz w:val="21"/>
          <w:szCs w:val="24"/>
        </w:rPr>
        <w:t xml:space="preserve"> Sin embargo,</w:t>
      </w:r>
      <w:r w:rsidR="00D84FF6">
        <w:rPr>
          <w:i w:val="0"/>
          <w:iCs w:val="0"/>
          <w:sz w:val="21"/>
          <w:szCs w:val="24"/>
        </w:rPr>
        <w:t xml:space="preserve"> durante el primer semestre de 2020 se muestra una caída del indicador </w:t>
      </w:r>
      <w:r w:rsidR="00873551" w:rsidRPr="006E6769">
        <w:rPr>
          <w:i w:val="0"/>
          <w:iCs w:val="0"/>
          <w:sz w:val="21"/>
          <w:szCs w:val="24"/>
        </w:rPr>
        <w:t>debido a los efectos rezagados de las manifestaciones de fines de 2019, y, además, el efecto de la pandemia.</w:t>
      </w:r>
      <w:r w:rsidR="00E9701D">
        <w:rPr>
          <w:i w:val="0"/>
          <w:iCs w:val="0"/>
          <w:sz w:val="21"/>
          <w:szCs w:val="24"/>
        </w:rPr>
        <w:t xml:space="preserve"> No obstante, </w:t>
      </w:r>
      <w:r w:rsidR="00AC299A">
        <w:rPr>
          <w:i w:val="0"/>
          <w:iCs w:val="0"/>
          <w:sz w:val="21"/>
          <w:szCs w:val="24"/>
        </w:rPr>
        <w:t>luego de alcanzar su punto más bajo en septiembre de 2021</w:t>
      </w:r>
      <w:r w:rsidR="00973D7E">
        <w:rPr>
          <w:i w:val="0"/>
          <w:iCs w:val="0"/>
          <w:sz w:val="21"/>
          <w:szCs w:val="24"/>
        </w:rPr>
        <w:t xml:space="preserve"> con una tasa de 3,2%</w:t>
      </w:r>
      <w:r w:rsidR="00AC299A">
        <w:rPr>
          <w:i w:val="0"/>
          <w:iCs w:val="0"/>
          <w:sz w:val="21"/>
          <w:szCs w:val="24"/>
        </w:rPr>
        <w:t xml:space="preserve">, el indicador ha logrado reponerse paulatinamente, </w:t>
      </w:r>
      <w:r w:rsidR="004A68A2">
        <w:rPr>
          <w:i w:val="0"/>
          <w:iCs w:val="0"/>
          <w:sz w:val="21"/>
          <w:szCs w:val="24"/>
        </w:rPr>
        <w:t>alcanzando a</w:t>
      </w:r>
      <w:r w:rsidR="00494873">
        <w:rPr>
          <w:i w:val="0"/>
          <w:iCs w:val="0"/>
          <w:sz w:val="21"/>
          <w:szCs w:val="24"/>
        </w:rPr>
        <w:t>l</w:t>
      </w:r>
      <w:r w:rsidR="00B31579">
        <w:rPr>
          <w:i w:val="0"/>
          <w:iCs w:val="0"/>
          <w:sz w:val="21"/>
          <w:szCs w:val="24"/>
        </w:rPr>
        <w:t xml:space="preserve"> cierre de</w:t>
      </w:r>
      <w:r w:rsidR="001D58C7">
        <w:rPr>
          <w:i w:val="0"/>
          <w:iCs w:val="0"/>
          <w:sz w:val="21"/>
          <w:szCs w:val="24"/>
        </w:rPr>
        <w:t xml:space="preserve"> 2021 </w:t>
      </w:r>
      <w:r w:rsidR="00530FD2">
        <w:rPr>
          <w:i w:val="0"/>
          <w:iCs w:val="0"/>
          <w:sz w:val="21"/>
          <w:szCs w:val="24"/>
        </w:rPr>
        <w:t xml:space="preserve">y a </w:t>
      </w:r>
      <w:r w:rsidR="00211694">
        <w:rPr>
          <w:i w:val="0"/>
          <w:iCs w:val="0"/>
          <w:sz w:val="21"/>
          <w:szCs w:val="24"/>
        </w:rPr>
        <w:t>julio</w:t>
      </w:r>
      <w:r w:rsidR="00530FD2">
        <w:rPr>
          <w:i w:val="0"/>
          <w:iCs w:val="0"/>
          <w:sz w:val="21"/>
          <w:szCs w:val="24"/>
        </w:rPr>
        <w:t xml:space="preserve"> de 2022 una tasa de pago de</w:t>
      </w:r>
      <w:r w:rsidR="00267596">
        <w:rPr>
          <w:i w:val="0"/>
          <w:iCs w:val="0"/>
          <w:sz w:val="21"/>
          <w:szCs w:val="24"/>
        </w:rPr>
        <w:t xml:space="preserve"> 3,4%. </w:t>
      </w:r>
    </w:p>
    <w:p w14:paraId="417C9F89" w14:textId="5B9FB27B" w:rsidR="00A36ECB" w:rsidRDefault="00F454C0" w:rsidP="00225A48">
      <w:pPr>
        <w:pStyle w:val="Descripcin"/>
        <w:jc w:val="both"/>
        <w:rPr>
          <w:i w:val="0"/>
          <w:iCs w:val="0"/>
          <w:sz w:val="21"/>
          <w:szCs w:val="24"/>
        </w:rPr>
      </w:pPr>
      <w:r>
        <w:rPr>
          <w:i w:val="0"/>
          <w:iCs w:val="0"/>
          <w:sz w:val="21"/>
          <w:szCs w:val="24"/>
        </w:rPr>
        <w:t xml:space="preserve">En </w:t>
      </w:r>
      <w:r w:rsidR="00307212">
        <w:rPr>
          <w:i w:val="0"/>
          <w:iCs w:val="0"/>
          <w:sz w:val="21"/>
          <w:szCs w:val="24"/>
        </w:rPr>
        <w:t>l</w:t>
      </w:r>
      <w:r w:rsidR="00267596">
        <w:rPr>
          <w:i w:val="0"/>
          <w:iCs w:val="0"/>
          <w:sz w:val="21"/>
          <w:szCs w:val="24"/>
        </w:rPr>
        <w:t>a</w:t>
      </w:r>
      <w:r w:rsidR="00504523">
        <w:rPr>
          <w:i w:val="0"/>
          <w:iCs w:val="0"/>
          <w:sz w:val="21"/>
          <w:szCs w:val="24"/>
        </w:rPr>
        <w:t xml:space="preserve"> </w:t>
      </w:r>
      <w:r w:rsidR="00504523" w:rsidRPr="00094D5D">
        <w:rPr>
          <w:i w:val="0"/>
          <w:iCs w:val="0"/>
          <w:sz w:val="21"/>
          <w:szCs w:val="24"/>
        </w:rPr>
        <w:fldChar w:fldCharType="begin"/>
      </w:r>
      <w:r w:rsidR="00504523" w:rsidRPr="00094D5D">
        <w:rPr>
          <w:i w:val="0"/>
          <w:iCs w:val="0"/>
          <w:sz w:val="21"/>
          <w:szCs w:val="24"/>
        </w:rPr>
        <w:instrText xml:space="preserve"> REF _Ref113234245 \h </w:instrText>
      </w:r>
      <w:r w:rsidR="00094D5D" w:rsidRPr="00094D5D">
        <w:rPr>
          <w:i w:val="0"/>
          <w:iCs w:val="0"/>
          <w:sz w:val="21"/>
          <w:szCs w:val="24"/>
        </w:rPr>
        <w:instrText xml:space="preserve"> \* MERGEFORMAT </w:instrText>
      </w:r>
      <w:r w:rsidR="00504523" w:rsidRPr="00094D5D">
        <w:rPr>
          <w:i w:val="0"/>
          <w:iCs w:val="0"/>
          <w:sz w:val="21"/>
          <w:szCs w:val="24"/>
        </w:rPr>
      </w:r>
      <w:r w:rsidR="00504523" w:rsidRPr="00094D5D">
        <w:rPr>
          <w:i w:val="0"/>
          <w:iCs w:val="0"/>
          <w:sz w:val="21"/>
          <w:szCs w:val="24"/>
        </w:rPr>
        <w:fldChar w:fldCharType="separate"/>
      </w:r>
      <w:r w:rsidR="007F4B16" w:rsidRPr="007F4B16">
        <w:rPr>
          <w:i w:val="0"/>
          <w:iCs w:val="0"/>
          <w:sz w:val="21"/>
          <w:szCs w:val="24"/>
        </w:rPr>
        <w:t>Ilustración 3</w:t>
      </w:r>
      <w:r w:rsidR="00504523" w:rsidRPr="00094D5D">
        <w:rPr>
          <w:i w:val="0"/>
          <w:iCs w:val="0"/>
          <w:sz w:val="21"/>
          <w:szCs w:val="24"/>
        </w:rPr>
        <w:fldChar w:fldCharType="end"/>
      </w:r>
      <w:r w:rsidR="00267596">
        <w:rPr>
          <w:i w:val="0"/>
          <w:iCs w:val="0"/>
          <w:sz w:val="21"/>
          <w:szCs w:val="24"/>
        </w:rPr>
        <w:t xml:space="preserve"> </w:t>
      </w:r>
      <w:r w:rsidR="00307212" w:rsidRPr="00FC59BA">
        <w:rPr>
          <w:i w:val="0"/>
          <w:iCs w:val="0"/>
          <w:sz w:val="21"/>
          <w:szCs w:val="24"/>
        </w:rPr>
        <w:t>se puede</w:t>
      </w:r>
      <w:r w:rsidR="00FC59BA" w:rsidRPr="00FC59BA">
        <w:rPr>
          <w:i w:val="0"/>
          <w:iCs w:val="0"/>
          <w:sz w:val="21"/>
          <w:szCs w:val="24"/>
        </w:rPr>
        <w:t>n observar las variaciones</w:t>
      </w:r>
      <w:r w:rsidR="00307212" w:rsidRPr="00FC59BA">
        <w:rPr>
          <w:i w:val="0"/>
          <w:iCs w:val="0"/>
          <w:sz w:val="21"/>
          <w:szCs w:val="24"/>
        </w:rPr>
        <w:t xml:space="preserve"> que ha tenido la tasa de pago en los últimos años.</w:t>
      </w:r>
    </w:p>
    <w:p w14:paraId="64563BBB" w14:textId="77777777" w:rsidR="007E2EA7" w:rsidRPr="007E2EA7" w:rsidRDefault="007E2EA7" w:rsidP="007E2EA7"/>
    <w:p w14:paraId="3A31CBA5" w14:textId="77777777" w:rsidR="00AF6050" w:rsidRDefault="00966F04" w:rsidP="00AF6050">
      <w:pPr>
        <w:pStyle w:val="Descripcin"/>
        <w:keepNext/>
        <w:tabs>
          <w:tab w:val="left" w:pos="6804"/>
        </w:tabs>
        <w:spacing w:after="120"/>
      </w:pPr>
      <w:bookmarkStart w:id="4" w:name="_Ref78965415"/>
      <w:r>
        <w:rPr>
          <w:noProof/>
        </w:rPr>
        <w:lastRenderedPageBreak/>
        <w:drawing>
          <wp:inline distT="0" distB="0" distL="0" distR="0" wp14:anchorId="230751BA" wp14:editId="4BF85087">
            <wp:extent cx="5760000" cy="2880000"/>
            <wp:effectExtent l="0" t="0" r="0" b="0"/>
            <wp:docPr id="17" name="Gráfico 17">
              <a:extLst xmlns:a="http://schemas.openxmlformats.org/drawingml/2006/main">
                <a:ext uri="{FF2B5EF4-FFF2-40B4-BE49-F238E27FC236}">
                  <a16:creationId xmlns:a16="http://schemas.microsoft.com/office/drawing/2014/main" id="{00000000-0008-0000-1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62E8C04" w14:textId="395B7BD4" w:rsidR="007521C8" w:rsidRDefault="00AF6050" w:rsidP="00AF6050">
      <w:pPr>
        <w:pStyle w:val="Descripcin"/>
        <w:spacing w:after="120"/>
      </w:pPr>
      <w:bookmarkStart w:id="5" w:name="_Ref113234245"/>
      <w:r>
        <w:t xml:space="preserve">Ilustración </w:t>
      </w:r>
      <w:fldSimple w:instr=" SEQ Ilustración \* ARABIC ">
        <w:r w:rsidR="007F4B16">
          <w:rPr>
            <w:noProof/>
          </w:rPr>
          <w:t>3</w:t>
        </w:r>
      </w:fldSimple>
      <w:bookmarkEnd w:id="5"/>
      <w:r>
        <w:t>: Tasa de pago</w:t>
      </w:r>
    </w:p>
    <w:p w14:paraId="7E4A4FFF" w14:textId="77777777" w:rsidR="007521C8" w:rsidRDefault="007521C8" w:rsidP="00BC1EEC">
      <w:pPr>
        <w:pStyle w:val="Descripcin"/>
      </w:pPr>
    </w:p>
    <w:bookmarkEnd w:id="4"/>
    <w:p w14:paraId="1DA2EA2E" w14:textId="61F0C275" w:rsidR="00B23BAE" w:rsidRDefault="00B23BAE" w:rsidP="00094D5D">
      <w:pPr>
        <w:keepNext/>
        <w:spacing w:after="120"/>
        <w:jc w:val="both"/>
      </w:pPr>
      <w:r>
        <w:rPr>
          <w:rFonts w:eastAsiaTheme="majorEastAsia" w:cstheme="majorBidi"/>
          <w:b/>
          <w:sz w:val="44"/>
          <w:szCs w:val="32"/>
          <w:lang w:val="es-ES"/>
        </w:rPr>
        <w:t>Administración de riesgos</w:t>
      </w:r>
    </w:p>
    <w:p w14:paraId="6AE91F92" w14:textId="6D6E3234" w:rsidR="006E16DE" w:rsidRDefault="006E16DE" w:rsidP="00094D5D">
      <w:pPr>
        <w:keepNext/>
        <w:spacing w:after="120"/>
        <w:jc w:val="both"/>
        <w:rPr>
          <w:rFonts w:ascii="Myriad Pro Light" w:eastAsiaTheme="majorEastAsia" w:hAnsi="Myriad Pro Light" w:cstheme="majorBidi"/>
          <w:b/>
          <w:spacing w:val="-10"/>
          <w:kern w:val="28"/>
          <w:sz w:val="28"/>
          <w:szCs w:val="56"/>
        </w:rPr>
      </w:pPr>
      <w:r w:rsidRPr="006E16DE">
        <w:rPr>
          <w:rFonts w:ascii="Myriad Pro Light" w:eastAsiaTheme="majorEastAsia" w:hAnsi="Myriad Pro Light" w:cstheme="majorBidi"/>
          <w:b/>
          <w:spacing w:val="-10"/>
          <w:kern w:val="28"/>
          <w:sz w:val="28"/>
          <w:szCs w:val="56"/>
        </w:rPr>
        <w:t xml:space="preserve">Riesgo de </w:t>
      </w:r>
      <w:r w:rsidR="00C312F7">
        <w:rPr>
          <w:rFonts w:ascii="Myriad Pro Light" w:eastAsiaTheme="majorEastAsia" w:hAnsi="Myriad Pro Light" w:cstheme="majorBidi"/>
          <w:b/>
          <w:spacing w:val="-10"/>
          <w:kern w:val="28"/>
          <w:sz w:val="28"/>
          <w:szCs w:val="56"/>
        </w:rPr>
        <w:t>m</w:t>
      </w:r>
      <w:r w:rsidRPr="006E16DE">
        <w:rPr>
          <w:rFonts w:ascii="Myriad Pro Light" w:eastAsiaTheme="majorEastAsia" w:hAnsi="Myriad Pro Light" w:cstheme="majorBidi"/>
          <w:b/>
          <w:spacing w:val="-10"/>
          <w:kern w:val="28"/>
          <w:sz w:val="28"/>
          <w:szCs w:val="56"/>
        </w:rPr>
        <w:t>ercado</w:t>
      </w:r>
    </w:p>
    <w:p w14:paraId="32FF5B72" w14:textId="77777777" w:rsidR="00680125" w:rsidRDefault="00680125" w:rsidP="00094D5D">
      <w:pPr>
        <w:spacing w:after="120"/>
        <w:jc w:val="both"/>
      </w:pPr>
      <w:r>
        <w:t>La política de administración del riesgo de mercado se encuentra aprobada por el Directorio, la cual está en línea con los requerimientos establecidos por la Superintendencia de Seguridad Social en la Circular N°2.589 del 11 de diciembre de 2009 y su modificación según Circular N°2.840 del 12 de julio de 2012.</w:t>
      </w:r>
    </w:p>
    <w:p w14:paraId="0963E2D5" w14:textId="77777777" w:rsidR="00680125" w:rsidRDefault="00680125" w:rsidP="00094D5D">
      <w:pPr>
        <w:spacing w:after="120"/>
        <w:jc w:val="both"/>
      </w:pPr>
      <w:r>
        <w:t>En la mencionada política, se establecen restricciones para efectuar los diversos tipos de transacciones y define los límites de tolerancia de pérdidas por variaciones de las tasas de interés e IPC. Lo anterior, permite mantener delimitado la exposición al riesgo de mercado y cumplir íntegramente la normativa emitida por la Superintendencia.</w:t>
      </w:r>
    </w:p>
    <w:p w14:paraId="5801C49E" w14:textId="7C3EDF1B" w:rsidR="00680125" w:rsidRDefault="00680125" w:rsidP="00094D5D">
      <w:pPr>
        <w:spacing w:after="120"/>
        <w:jc w:val="both"/>
      </w:pPr>
      <w:r>
        <w:t xml:space="preserve">En cuanto al riesgo de liquidez, el enfoque de la emisora está orientado a administrar la liquidez, asegurando en la mayor medida posible, que siempre se contará con los recursos suficiente para cumplir con sus obligaciones de corto plazo en los distintos vencimientos. Esto se considera tanto en condiciones normales como de tensión, sin incurrir en pérdidas inaceptables o arriesgar la continuidad de la </w:t>
      </w:r>
      <w:r w:rsidR="00764558">
        <w:t>e</w:t>
      </w:r>
      <w:r>
        <w:t>ntidad.</w:t>
      </w:r>
    </w:p>
    <w:p w14:paraId="46D0E13C" w14:textId="7062A6D7" w:rsidR="001C6A09" w:rsidRDefault="00680125" w:rsidP="00094D5D">
      <w:pPr>
        <w:spacing w:after="120"/>
        <w:jc w:val="both"/>
      </w:pPr>
      <w:r>
        <w:t xml:space="preserve">La política de administración del riesgo de liquidez está debidamente aprobada por el </w:t>
      </w:r>
      <w:r w:rsidR="009A5B50">
        <w:t>d</w:t>
      </w:r>
      <w:r>
        <w:t>irectorio. En esta política, se establecen las directrices para la administración del riesgo, planes de contingencia, entre otros.</w:t>
      </w:r>
    </w:p>
    <w:p w14:paraId="2D5F8DE5" w14:textId="45D35A71" w:rsidR="002715A5" w:rsidRDefault="002715A5" w:rsidP="00094D5D">
      <w:pPr>
        <w:spacing w:after="120"/>
        <w:jc w:val="both"/>
      </w:pPr>
    </w:p>
    <w:p w14:paraId="2942EA01" w14:textId="77777777" w:rsidR="00C312F7" w:rsidRDefault="00C312F7" w:rsidP="00094D5D">
      <w:pPr>
        <w:spacing w:after="120"/>
        <w:jc w:val="both"/>
        <w:rPr>
          <w:rFonts w:ascii="Myriad Pro Light" w:eastAsiaTheme="majorEastAsia" w:hAnsi="Myriad Pro Light" w:cstheme="majorBidi"/>
          <w:b/>
          <w:spacing w:val="-10"/>
          <w:kern w:val="28"/>
          <w:sz w:val="28"/>
          <w:szCs w:val="56"/>
        </w:rPr>
      </w:pPr>
      <w:r>
        <w:rPr>
          <w:rFonts w:ascii="Myriad Pro Light" w:eastAsiaTheme="majorEastAsia" w:hAnsi="Myriad Pro Light" w:cstheme="majorBidi"/>
          <w:b/>
          <w:spacing w:val="-10"/>
          <w:kern w:val="28"/>
          <w:sz w:val="28"/>
          <w:szCs w:val="56"/>
        </w:rPr>
        <w:br w:type="page"/>
      </w:r>
    </w:p>
    <w:p w14:paraId="24F6BB8B" w14:textId="1B691477" w:rsidR="00005725" w:rsidRDefault="00005725" w:rsidP="00094D5D">
      <w:pPr>
        <w:spacing w:after="120"/>
        <w:jc w:val="both"/>
        <w:rPr>
          <w:rFonts w:ascii="Myriad Pro Light" w:eastAsiaTheme="majorEastAsia" w:hAnsi="Myriad Pro Light" w:cstheme="majorBidi"/>
          <w:b/>
          <w:spacing w:val="-10"/>
          <w:kern w:val="28"/>
          <w:sz w:val="28"/>
          <w:szCs w:val="56"/>
        </w:rPr>
      </w:pPr>
      <w:r w:rsidRPr="00005725">
        <w:rPr>
          <w:rFonts w:ascii="Myriad Pro Light" w:eastAsiaTheme="majorEastAsia" w:hAnsi="Myriad Pro Light" w:cstheme="majorBidi"/>
          <w:b/>
          <w:spacing w:val="-10"/>
          <w:kern w:val="28"/>
          <w:sz w:val="28"/>
          <w:szCs w:val="56"/>
        </w:rPr>
        <w:lastRenderedPageBreak/>
        <w:t>Estructura de fondeo</w:t>
      </w:r>
      <w:r w:rsidRPr="00005725">
        <w:rPr>
          <w:rFonts w:ascii="Myriad Pro Light" w:eastAsiaTheme="majorEastAsia" w:hAnsi="Myriad Pro Light" w:cstheme="majorBidi"/>
          <w:b/>
          <w:spacing w:val="-10"/>
          <w:kern w:val="28"/>
          <w:sz w:val="28"/>
          <w:szCs w:val="56"/>
        </w:rPr>
        <w:tab/>
      </w:r>
    </w:p>
    <w:p w14:paraId="7D80CF6A" w14:textId="77777777" w:rsidR="00E54A27" w:rsidRDefault="00E54A27" w:rsidP="00094D5D">
      <w:pPr>
        <w:spacing w:after="120"/>
        <w:jc w:val="both"/>
      </w:pPr>
      <w:r>
        <w:t xml:space="preserve">Para efecto del otorgamiento de créditos sociales y de mutuos hipotecarios, la legislación vigente establece que la corporación sólo puede financiar sus colocaciones en el sistema financiero chileno, lo que incluye bancos de la plaza y emisión de bonos securitizados y corporativos, previamente autorizados por la SUSESO, así como con entidades multilaterales internacionales de financiamiento. </w:t>
      </w:r>
    </w:p>
    <w:p w14:paraId="611B54FD" w14:textId="481C21A3" w:rsidR="004B1D71" w:rsidRDefault="00587A14" w:rsidP="00094D5D">
      <w:pPr>
        <w:spacing w:after="120"/>
        <w:jc w:val="both"/>
      </w:pPr>
      <w:r w:rsidRPr="007C47F0">
        <w:t>A</w:t>
      </w:r>
      <w:r w:rsidR="00E54A27" w:rsidRPr="007C47F0">
        <w:t xml:space="preserve"> marzo de 202</w:t>
      </w:r>
      <w:r w:rsidR="006F0C2C" w:rsidRPr="007C47F0">
        <w:t>2</w:t>
      </w:r>
      <w:r w:rsidR="00E54A27" w:rsidRPr="007C47F0">
        <w:t xml:space="preserve">, el financiamiento de </w:t>
      </w:r>
      <w:r w:rsidR="00E54A27" w:rsidRPr="007C47F0">
        <w:rPr>
          <w:b/>
        </w:rPr>
        <w:t>CCAF La Araucana</w:t>
      </w:r>
      <w:r w:rsidR="00E54A27" w:rsidRPr="007C47F0">
        <w:t xml:space="preserve"> se distribuía en </w:t>
      </w:r>
      <w:r w:rsidR="00C40BDD" w:rsidRPr="007C47F0">
        <w:t>o</w:t>
      </w:r>
      <w:r w:rsidR="00E54A27" w:rsidRPr="007C47F0">
        <w:t>bligaciones bancarias y arrendamientos (2</w:t>
      </w:r>
      <w:r w:rsidR="006F0C2C" w:rsidRPr="007C47F0">
        <w:t>3,7</w:t>
      </w:r>
      <w:r w:rsidR="00E54A27" w:rsidRPr="007C47F0">
        <w:t>%), obligaciones con instituciones públicas (0,1%) y bonos corporativos (7</w:t>
      </w:r>
      <w:r w:rsidR="006F0C2C" w:rsidRPr="007C47F0">
        <w:t>6,2</w:t>
      </w:r>
      <w:r w:rsidR="00E54A27" w:rsidRPr="007C47F0">
        <w:t>%). En lo relativo a los préstamos bancarios</w:t>
      </w:r>
      <w:r w:rsidR="007C47F0" w:rsidRPr="007C47F0">
        <w:t>,</w:t>
      </w:r>
      <w:r w:rsidR="00E54A27" w:rsidRPr="007C47F0">
        <w:t xml:space="preserve"> el acreedor más importante es Scotiabank </w:t>
      </w:r>
      <w:r w:rsidR="002342A1" w:rsidRPr="007C47F0">
        <w:t>(</w:t>
      </w:r>
      <w:r w:rsidR="007C47F0" w:rsidRPr="007C47F0">
        <w:t>7,6</w:t>
      </w:r>
      <w:r w:rsidR="00E54A27" w:rsidRPr="007C47F0">
        <w:t>% de los pasivos financieros</w:t>
      </w:r>
      <w:r w:rsidR="002342A1" w:rsidRPr="007C47F0">
        <w:t>)</w:t>
      </w:r>
      <w:r w:rsidR="00E54A27" w:rsidRPr="007C47F0">
        <w:t>.</w:t>
      </w:r>
    </w:p>
    <w:p w14:paraId="4F4C1F0E" w14:textId="77777777" w:rsidR="00771374" w:rsidRDefault="00771374" w:rsidP="00E54A27">
      <w:pPr>
        <w:spacing w:after="120"/>
        <w:jc w:val="both"/>
      </w:pPr>
    </w:p>
    <w:p w14:paraId="50CD6583" w14:textId="69175E7B" w:rsidR="00BE7443" w:rsidRDefault="00BE7443" w:rsidP="00737C41">
      <w:pPr>
        <w:keepNext/>
        <w:spacing w:after="120"/>
        <w:jc w:val="both"/>
      </w:pPr>
      <w:r>
        <w:rPr>
          <w:rFonts w:eastAsiaTheme="majorEastAsia" w:cstheme="majorBidi"/>
          <w:b/>
          <w:sz w:val="44"/>
          <w:szCs w:val="32"/>
          <w:lang w:val="es-ES"/>
        </w:rPr>
        <w:t>Análisis financiero</w:t>
      </w:r>
      <w:r w:rsidR="00ED7AD2">
        <w:rPr>
          <w:rStyle w:val="Refdenotaalpie"/>
          <w:rFonts w:eastAsiaTheme="majorEastAsia" w:cstheme="majorBidi"/>
          <w:b/>
          <w:sz w:val="44"/>
          <w:szCs w:val="32"/>
          <w:lang w:val="es-ES"/>
        </w:rPr>
        <w:footnoteReference w:id="19"/>
      </w:r>
    </w:p>
    <w:p w14:paraId="2CCB7EF3" w14:textId="487A97D7" w:rsidR="00ED3D53" w:rsidRPr="005E7C00" w:rsidRDefault="00ED3D53" w:rsidP="00737C41">
      <w:pPr>
        <w:pStyle w:val="Ttulo"/>
        <w:spacing w:after="120" w:line="240" w:lineRule="auto"/>
        <w:jc w:val="both"/>
        <w:rPr>
          <w:lang w:val="es-ES"/>
        </w:rPr>
      </w:pPr>
      <w:r w:rsidRPr="005E7C00">
        <w:rPr>
          <w:lang w:val="es-ES"/>
        </w:rPr>
        <w:t>Evolución de los ingresos y</w:t>
      </w:r>
      <w:r>
        <w:rPr>
          <w:lang w:val="es-ES"/>
        </w:rPr>
        <w:t xml:space="preserve"> colocaciones</w:t>
      </w:r>
    </w:p>
    <w:p w14:paraId="40159E2D" w14:textId="4D561E86" w:rsidR="00290C80" w:rsidRDefault="00B90F1B" w:rsidP="00737C41">
      <w:pPr>
        <w:spacing w:after="120"/>
        <w:jc w:val="both"/>
      </w:pPr>
      <w:r>
        <w:t>Las colocaciones netas</w:t>
      </w:r>
      <w:r w:rsidR="003E0AA9">
        <w:rPr>
          <w:rStyle w:val="Refdenotaalpie"/>
        </w:rPr>
        <w:footnoteReference w:id="20"/>
      </w:r>
      <w:r>
        <w:t xml:space="preserve"> de </w:t>
      </w:r>
      <w:r w:rsidRPr="00030EEE">
        <w:rPr>
          <w:b/>
          <w:bCs/>
        </w:rPr>
        <w:t>CCAF La Araucana</w:t>
      </w:r>
      <w:r>
        <w:t xml:space="preserve"> </w:t>
      </w:r>
      <w:r w:rsidR="009756F9">
        <w:t>históricamente</w:t>
      </w:r>
      <w:r w:rsidR="006B5638">
        <w:t xml:space="preserve">, </w:t>
      </w:r>
      <w:r w:rsidR="00A71B19">
        <w:t>hasta 2019,</w:t>
      </w:r>
      <w:r w:rsidR="009756F9">
        <w:t xml:space="preserve"> mostra</w:t>
      </w:r>
      <w:r w:rsidR="00A71B19">
        <w:t>ron</w:t>
      </w:r>
      <w:r w:rsidR="009756F9">
        <w:t xml:space="preserve"> un comportamiento estable</w:t>
      </w:r>
      <w:r w:rsidR="009D01CD">
        <w:t>, manteniendo niveles por sobre los $380</w:t>
      </w:r>
      <w:r w:rsidR="0063139F">
        <w:t xml:space="preserve"> mil</w:t>
      </w:r>
      <w:r w:rsidR="009D01CD">
        <w:t xml:space="preserve"> millones hasta 2019. </w:t>
      </w:r>
      <w:r w:rsidR="00AA4B40">
        <w:t>No obstante</w:t>
      </w:r>
      <w:r w:rsidR="009D01CD">
        <w:t>,</w:t>
      </w:r>
      <w:r w:rsidR="005F5CD1">
        <w:t xml:space="preserve"> en </w:t>
      </w:r>
      <w:r w:rsidR="00F968EF">
        <w:t xml:space="preserve">los últimos dos cierres anuales </w:t>
      </w:r>
      <w:r w:rsidR="008A44E8">
        <w:t>las colocaciones</w:t>
      </w:r>
      <w:r w:rsidR="00F968EF">
        <w:t xml:space="preserve"> presenta</w:t>
      </w:r>
      <w:r w:rsidR="00A71B19">
        <w:t>n</w:t>
      </w:r>
      <w:r w:rsidR="008A44E8">
        <w:t xml:space="preserve"> un</w:t>
      </w:r>
      <w:r w:rsidR="00466640">
        <w:t>a baja</w:t>
      </w:r>
      <w:r w:rsidR="008A44E8">
        <w:t xml:space="preserve"> </w:t>
      </w:r>
      <w:r w:rsidR="001246BE">
        <w:t>a consecuencia, principalmente, de la crisis sanitaria</w:t>
      </w:r>
      <w:r w:rsidR="00564A6F">
        <w:t xml:space="preserve">, además de </w:t>
      </w:r>
      <w:r w:rsidR="00CD3C00">
        <w:t>la mayor liquidez que presentó el segmento objet</w:t>
      </w:r>
      <w:r w:rsidR="00FE5A7F">
        <w:t>iv</w:t>
      </w:r>
      <w:r w:rsidR="00CD3C00">
        <w:t>o tras las medidas</w:t>
      </w:r>
      <w:r w:rsidR="00290C80">
        <w:t xml:space="preserve"> del gobierno</w:t>
      </w:r>
      <w:r w:rsidR="002935DD">
        <w:t xml:space="preserve"> </w:t>
      </w:r>
      <w:r w:rsidR="007D03A1">
        <w:t>para mitigar los efectos de la pandemia</w:t>
      </w:r>
      <w:r w:rsidR="00FE5A7F">
        <w:t xml:space="preserve">. Lo anterior, significó que en el cierre de 2021 las colocaciones alcanzaran un nivel de aproximadamente $ </w:t>
      </w:r>
      <w:r w:rsidR="00FE5A7F" w:rsidRPr="00324474">
        <w:t>2</w:t>
      </w:r>
      <w:r w:rsidR="00227E25" w:rsidRPr="00324474">
        <w:t>6</w:t>
      </w:r>
      <w:r w:rsidR="00FE5A7F" w:rsidRPr="00324474">
        <w:t>9</w:t>
      </w:r>
      <w:r w:rsidR="00FE5A7F">
        <w:t xml:space="preserve"> mil millones</w:t>
      </w:r>
      <w:r w:rsidR="006E66DC">
        <w:t>. Sin embargo, dicha situación se ha ido revirtiendo en los últimos meses, alcanzando al cierre del primer trimestre de 2022 colocaciones por un monto</w:t>
      </w:r>
      <w:r w:rsidR="005B3B77">
        <w:t xml:space="preserve"> d</w:t>
      </w:r>
      <w:r w:rsidR="00A77742">
        <w:t>e $ 280 millones.</w:t>
      </w:r>
    </w:p>
    <w:p w14:paraId="40340BA0" w14:textId="65C161E6" w:rsidR="007E1620" w:rsidRPr="00C429AF" w:rsidRDefault="00B90F1B" w:rsidP="00737C41">
      <w:pPr>
        <w:spacing w:after="120"/>
        <w:jc w:val="both"/>
      </w:pPr>
      <w:r w:rsidRPr="00C429AF">
        <w:t>Por su parte, los ingresos</w:t>
      </w:r>
      <w:r w:rsidR="00A84353" w:rsidRPr="00C429AF">
        <w:rPr>
          <w:rStyle w:val="Refdenotaalpie"/>
        </w:rPr>
        <w:footnoteReference w:id="21"/>
      </w:r>
      <w:r w:rsidRPr="00C429AF">
        <w:t xml:space="preserve"> exhiben una tendencia a la baja desde el año 2018, como consecuencia del plan de reestructuración de la compañía, y</w:t>
      </w:r>
      <w:r w:rsidR="00391FE0" w:rsidRPr="00C429AF">
        <w:t xml:space="preserve"> </w:t>
      </w:r>
      <w:r w:rsidR="008A2646" w:rsidRPr="00C429AF">
        <w:t>debido a</w:t>
      </w:r>
      <w:r w:rsidRPr="00C429AF">
        <w:t xml:space="preserve"> que en los últimos periodos se </w:t>
      </w:r>
      <w:r w:rsidR="00257DA0" w:rsidRPr="00C429AF">
        <w:t>exhibió una</w:t>
      </w:r>
      <w:r w:rsidRPr="00C429AF">
        <w:t xml:space="preserve"> menor colocación de créditos por la baja actividad ante la crisis sanitaria, alcanzando los $ </w:t>
      </w:r>
      <w:r w:rsidR="00944DD0">
        <w:t>62.645</w:t>
      </w:r>
      <w:r w:rsidRPr="00C429AF">
        <w:t xml:space="preserve"> millones </w:t>
      </w:r>
      <w:r w:rsidR="00B874FE">
        <w:t>anualizado</w:t>
      </w:r>
      <w:r w:rsidRPr="00C429AF">
        <w:t xml:space="preserve"> </w:t>
      </w:r>
      <w:r w:rsidR="00944DD0">
        <w:t>a marzo</w:t>
      </w:r>
      <w:r w:rsidRPr="00C429AF">
        <w:t xml:space="preserve"> de 202</w:t>
      </w:r>
      <w:r w:rsidR="00944DD0">
        <w:t>2</w:t>
      </w:r>
      <w:r w:rsidRPr="00C429AF">
        <w:t>.</w:t>
      </w:r>
    </w:p>
    <w:p w14:paraId="05CE8B12" w14:textId="0680420F" w:rsidR="007E1620" w:rsidRPr="000B7A59" w:rsidRDefault="007E1620" w:rsidP="00737C41">
      <w:pPr>
        <w:spacing w:after="120"/>
        <w:jc w:val="both"/>
      </w:pPr>
      <w:r w:rsidRPr="00C429AF">
        <w:t xml:space="preserve">Dado lo anterior, la relación ingresos / colocaciones </w:t>
      </w:r>
      <w:r w:rsidR="00B37026">
        <w:t>ha mostrado una tendencia a la baja,</w:t>
      </w:r>
      <w:r w:rsidR="001910D9">
        <w:t xml:space="preserve"> alcanzando un 22,3% a marzo de 2022. L</w:t>
      </w:r>
      <w:r w:rsidR="00C946C5">
        <w:t>o anterior se puede ver reflejado en la siguiente imagen.</w:t>
      </w:r>
    </w:p>
    <w:p w14:paraId="2F24051A" w14:textId="77777777" w:rsidR="00C946C5" w:rsidRDefault="00251543" w:rsidP="00C946C5">
      <w:pPr>
        <w:pStyle w:val="Descripcin"/>
        <w:keepNext/>
        <w:spacing w:after="120"/>
      </w:pPr>
      <w:r>
        <w:rPr>
          <w:noProof/>
        </w:rPr>
        <w:lastRenderedPageBreak/>
        <w:drawing>
          <wp:inline distT="0" distB="0" distL="0" distR="0" wp14:anchorId="51F7512A" wp14:editId="486F945D">
            <wp:extent cx="5760000" cy="2880000"/>
            <wp:effectExtent l="0" t="0" r="0" b="0"/>
            <wp:docPr id="22" name="Gráfico 22">
              <a:extLst xmlns:a="http://schemas.openxmlformats.org/drawingml/2006/main">
                <a:ext uri="{FF2B5EF4-FFF2-40B4-BE49-F238E27FC236}">
                  <a16:creationId xmlns:a16="http://schemas.microsoft.com/office/drawing/2014/main" id="{00000000-0008-0000-1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C2B2CBB" w14:textId="328C2DD7" w:rsidR="008A2BD2" w:rsidRDefault="00C946C5" w:rsidP="00C946C5">
      <w:pPr>
        <w:pStyle w:val="Descripcin"/>
        <w:spacing w:after="120"/>
      </w:pPr>
      <w:r>
        <w:t xml:space="preserve">Ilustración </w:t>
      </w:r>
      <w:fldSimple w:instr=" SEQ Ilustración \* ARABIC ">
        <w:r w:rsidR="007F4B16">
          <w:rPr>
            <w:noProof/>
          </w:rPr>
          <w:t>4</w:t>
        </w:r>
      </w:fldSimple>
      <w:r>
        <w:t xml:space="preserve">: Stock de colocaciones </w:t>
      </w:r>
      <w:r w:rsidR="005625F3">
        <w:t>–</w:t>
      </w:r>
      <w:r>
        <w:t xml:space="preserve"> Ingresos</w:t>
      </w:r>
    </w:p>
    <w:p w14:paraId="41B20CC0" w14:textId="77777777" w:rsidR="00F46B5B" w:rsidRDefault="00F46B5B" w:rsidP="00C946C5">
      <w:pPr>
        <w:spacing w:after="120"/>
      </w:pPr>
    </w:p>
    <w:p w14:paraId="7F43BEF3" w14:textId="2496DB69" w:rsidR="00E209EF" w:rsidRPr="005E7C00" w:rsidRDefault="008C58AB" w:rsidP="00E774D3">
      <w:pPr>
        <w:pStyle w:val="Ttulo"/>
        <w:spacing w:before="240" w:line="240" w:lineRule="auto"/>
        <w:rPr>
          <w:lang w:val="es-ES"/>
        </w:rPr>
      </w:pPr>
      <w:r>
        <w:rPr>
          <w:lang w:val="es-ES"/>
        </w:rPr>
        <w:t>Evolución de la l</w:t>
      </w:r>
      <w:r w:rsidR="00E209EF">
        <w:rPr>
          <w:lang w:val="es-ES"/>
        </w:rPr>
        <w:t>iquidez</w:t>
      </w:r>
    </w:p>
    <w:p w14:paraId="2E78DB09" w14:textId="0776DAA4" w:rsidR="00A24690" w:rsidRDefault="00A91FDB" w:rsidP="00E774D3">
      <w:pPr>
        <w:spacing w:before="240" w:after="120"/>
        <w:jc w:val="both"/>
        <w:rPr>
          <w:iCs/>
          <w:szCs w:val="21"/>
        </w:rPr>
      </w:pPr>
      <w:r w:rsidRPr="006C1BB5">
        <w:rPr>
          <w:iCs/>
          <w:szCs w:val="21"/>
        </w:rPr>
        <w:t xml:space="preserve">La liquidez de </w:t>
      </w:r>
      <w:r w:rsidR="00DE6D10">
        <w:rPr>
          <w:b/>
          <w:bCs/>
          <w:iCs/>
          <w:szCs w:val="21"/>
        </w:rPr>
        <w:t>CCAF La Araucana</w:t>
      </w:r>
      <w:r w:rsidRPr="006C1BB5">
        <w:rPr>
          <w:iCs/>
          <w:szCs w:val="21"/>
        </w:rPr>
        <w:t xml:space="preserve">, medida como activo corriente sobre pasivo corriente, </w:t>
      </w:r>
      <w:r w:rsidR="00D342BA">
        <w:rPr>
          <w:iCs/>
          <w:szCs w:val="21"/>
        </w:rPr>
        <w:t>ha presentado, desde su incremento en 2020, un indicador estable</w:t>
      </w:r>
      <w:r w:rsidR="005625F3">
        <w:rPr>
          <w:iCs/>
          <w:szCs w:val="21"/>
        </w:rPr>
        <w:t xml:space="preserve"> y muy elevado desde 2017</w:t>
      </w:r>
      <w:r w:rsidR="008F6E32">
        <w:rPr>
          <w:iCs/>
          <w:szCs w:val="21"/>
        </w:rPr>
        <w:t>.</w:t>
      </w:r>
      <w:r w:rsidR="00842195">
        <w:rPr>
          <w:iCs/>
          <w:szCs w:val="21"/>
        </w:rPr>
        <w:t xml:space="preserve"> Al cierre de marzo de 2022</w:t>
      </w:r>
      <w:r w:rsidR="007A080C">
        <w:rPr>
          <w:iCs/>
          <w:szCs w:val="21"/>
        </w:rPr>
        <w:t xml:space="preserve">, la liquidez de la compañía alcanzó las 6,59 veces, indicador </w:t>
      </w:r>
      <w:r w:rsidR="009B3077">
        <w:rPr>
          <w:iCs/>
          <w:szCs w:val="21"/>
        </w:rPr>
        <w:t>2,5% menor que al exhibido al cierre de 2021</w:t>
      </w:r>
      <w:r w:rsidR="00CD4B0D">
        <w:rPr>
          <w:iCs/>
          <w:szCs w:val="21"/>
        </w:rPr>
        <w:t>. Lo anterior</w:t>
      </w:r>
      <w:r w:rsidR="00312D95">
        <w:rPr>
          <w:iCs/>
          <w:szCs w:val="21"/>
        </w:rPr>
        <w:t xml:space="preserve"> se explica</w:t>
      </w:r>
      <w:r w:rsidR="00665A51">
        <w:rPr>
          <w:iCs/>
          <w:szCs w:val="21"/>
        </w:rPr>
        <w:t xml:space="preserve"> dada la</w:t>
      </w:r>
      <w:r w:rsidR="000C25A6">
        <w:rPr>
          <w:iCs/>
          <w:szCs w:val="21"/>
        </w:rPr>
        <w:t xml:space="preserve"> baja de</w:t>
      </w:r>
      <w:r w:rsidR="00BE2954">
        <w:rPr>
          <w:iCs/>
          <w:szCs w:val="21"/>
        </w:rPr>
        <w:t xml:space="preserve"> caja</w:t>
      </w:r>
      <w:r w:rsidR="008F7B98">
        <w:rPr>
          <w:iCs/>
          <w:szCs w:val="21"/>
        </w:rPr>
        <w:t>, por consecuencia del rescate de</w:t>
      </w:r>
      <w:r w:rsidR="00025E98">
        <w:rPr>
          <w:iCs/>
          <w:szCs w:val="21"/>
        </w:rPr>
        <w:t xml:space="preserve"> depósitos a plazo, los que fueron utilizados en las colocaciones de crédito social, </w:t>
      </w:r>
      <w:r w:rsidR="00A41235">
        <w:rPr>
          <w:iCs/>
          <w:szCs w:val="21"/>
        </w:rPr>
        <w:t xml:space="preserve">debido a que </w:t>
      </w:r>
      <w:r w:rsidR="005250C6">
        <w:rPr>
          <w:iCs/>
          <w:szCs w:val="21"/>
        </w:rPr>
        <w:t>los déficits</w:t>
      </w:r>
      <w:r w:rsidR="00851689">
        <w:rPr>
          <w:iCs/>
          <w:szCs w:val="21"/>
        </w:rPr>
        <w:t xml:space="preserve"> del Fondo SIL</w:t>
      </w:r>
      <w:r w:rsidR="005250C6">
        <w:rPr>
          <w:iCs/>
          <w:szCs w:val="21"/>
        </w:rPr>
        <w:t xml:space="preserve"> del primer trimestre del año en curso no han sido reintegrados, aún, por Fonasa. La </w:t>
      </w:r>
      <w:r w:rsidR="001C70AC">
        <w:rPr>
          <w:iCs/>
          <w:szCs w:val="21"/>
          <w:highlight w:val="yellow"/>
        </w:rPr>
        <w:fldChar w:fldCharType="begin"/>
      </w:r>
      <w:r w:rsidR="001C70AC">
        <w:rPr>
          <w:iCs/>
          <w:szCs w:val="21"/>
        </w:rPr>
        <w:instrText xml:space="preserve"> REF _Ref113234345 \h </w:instrText>
      </w:r>
      <w:r w:rsidR="001C70AC">
        <w:rPr>
          <w:iCs/>
          <w:szCs w:val="21"/>
          <w:highlight w:val="yellow"/>
        </w:rPr>
      </w:r>
      <w:r w:rsidR="001C70AC">
        <w:rPr>
          <w:iCs/>
          <w:szCs w:val="21"/>
          <w:highlight w:val="yellow"/>
        </w:rPr>
        <w:fldChar w:fldCharType="separate"/>
      </w:r>
      <w:r w:rsidR="007F4B16">
        <w:t xml:space="preserve">Ilustración </w:t>
      </w:r>
      <w:r w:rsidR="007F4B16">
        <w:rPr>
          <w:noProof/>
        </w:rPr>
        <w:t>5</w:t>
      </w:r>
      <w:r w:rsidR="001C70AC">
        <w:rPr>
          <w:iCs/>
          <w:szCs w:val="21"/>
          <w:highlight w:val="yellow"/>
        </w:rPr>
        <w:fldChar w:fldCharType="end"/>
      </w:r>
      <w:r w:rsidR="001C70AC">
        <w:rPr>
          <w:iCs/>
          <w:szCs w:val="21"/>
        </w:rPr>
        <w:t xml:space="preserve"> </w:t>
      </w:r>
      <w:r w:rsidR="003C27B6">
        <w:rPr>
          <w:iCs/>
          <w:szCs w:val="21"/>
        </w:rPr>
        <w:t>muestra la evolución del indicador en los últimos años.</w:t>
      </w:r>
    </w:p>
    <w:p w14:paraId="0F83DCCB" w14:textId="77777777" w:rsidR="00A24690" w:rsidRDefault="00F15E21" w:rsidP="00A24690">
      <w:pPr>
        <w:keepNext/>
        <w:spacing w:after="120"/>
        <w:jc w:val="center"/>
      </w:pPr>
      <w:r>
        <w:rPr>
          <w:noProof/>
        </w:rPr>
        <w:lastRenderedPageBreak/>
        <w:drawing>
          <wp:inline distT="0" distB="0" distL="0" distR="0" wp14:anchorId="5822EBD1" wp14:editId="5E1ED8E5">
            <wp:extent cx="5760000" cy="2880000"/>
            <wp:effectExtent l="0" t="0" r="0" b="0"/>
            <wp:docPr id="23" name="Gráfico 23">
              <a:extLst xmlns:a="http://schemas.openxmlformats.org/drawingml/2006/main">
                <a:ext uri="{FF2B5EF4-FFF2-40B4-BE49-F238E27FC236}">
                  <a16:creationId xmlns:a16="http://schemas.microsoft.com/office/drawing/2014/main" id="{00000000-0008-0000-1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3873777" w14:textId="2B553D22" w:rsidR="004F3F4B" w:rsidRDefault="00A24690" w:rsidP="001C70AC">
      <w:pPr>
        <w:pStyle w:val="Descripcin"/>
        <w:spacing w:after="120"/>
      </w:pPr>
      <w:bookmarkStart w:id="6" w:name="_Ref113234345"/>
      <w:r>
        <w:t xml:space="preserve">Ilustración </w:t>
      </w:r>
      <w:fldSimple w:instr=" SEQ Ilustración \* ARABIC ">
        <w:r w:rsidR="007F4B16">
          <w:rPr>
            <w:noProof/>
          </w:rPr>
          <w:t>5</w:t>
        </w:r>
      </w:fldSimple>
      <w:bookmarkEnd w:id="6"/>
      <w:r>
        <w:t>: Liquidez</w:t>
      </w:r>
    </w:p>
    <w:p w14:paraId="3DFFA33D" w14:textId="77777777" w:rsidR="00C312F7" w:rsidRPr="00C312F7" w:rsidRDefault="00C312F7" w:rsidP="00C312F7"/>
    <w:p w14:paraId="03DD67AA" w14:textId="2567C14D" w:rsidR="00667AA6" w:rsidRPr="00667AA6" w:rsidRDefault="008C58AB" w:rsidP="007E4709">
      <w:pPr>
        <w:pStyle w:val="Ttulo"/>
        <w:spacing w:after="120" w:line="240" w:lineRule="auto"/>
        <w:rPr>
          <w:lang w:val="es-ES"/>
        </w:rPr>
      </w:pPr>
      <w:r>
        <w:rPr>
          <w:lang w:val="es-ES"/>
        </w:rPr>
        <w:t>Evolución del e</w:t>
      </w:r>
      <w:r w:rsidR="00667AA6" w:rsidRPr="00667AA6">
        <w:rPr>
          <w:lang w:val="es-ES"/>
        </w:rPr>
        <w:t>ndeudamiento</w:t>
      </w:r>
      <w:r w:rsidR="00667AA6" w:rsidRPr="00667AA6">
        <w:rPr>
          <w:lang w:val="es-ES"/>
        </w:rPr>
        <w:tab/>
      </w:r>
    </w:p>
    <w:p w14:paraId="325431D4" w14:textId="538477A9" w:rsidR="00957C91" w:rsidRDefault="00CE23D4" w:rsidP="007E4709">
      <w:pPr>
        <w:spacing w:after="120"/>
        <w:jc w:val="both"/>
      </w:pPr>
      <w:r w:rsidRPr="00CE23D4">
        <w:t xml:space="preserve">El endeudamiento de </w:t>
      </w:r>
      <w:r w:rsidRPr="00030EEE">
        <w:rPr>
          <w:b/>
          <w:bCs/>
        </w:rPr>
        <w:t>CCAF La Araucana</w:t>
      </w:r>
      <w:r w:rsidRPr="00CE23D4">
        <w:t>, medido como pasivo exigible sobre patrimonio, ha presentado una tendencia decreciente, registrando a marzo de 202</w:t>
      </w:r>
      <w:r w:rsidR="000656DB">
        <w:t>2</w:t>
      </w:r>
      <w:r w:rsidRPr="00CE23D4">
        <w:t xml:space="preserve"> un valor de </w:t>
      </w:r>
      <w:r w:rsidR="008606CB">
        <w:t>2,07</w:t>
      </w:r>
      <w:r w:rsidRPr="00CE23D4">
        <w:t xml:space="preserve"> veces</w:t>
      </w:r>
      <w:r>
        <w:rPr>
          <w:rStyle w:val="Refdenotaalpie"/>
        </w:rPr>
        <w:footnoteReference w:id="22"/>
      </w:r>
      <w:r w:rsidRPr="00CE23D4">
        <w:t>.</w:t>
      </w:r>
      <w:r w:rsidR="006A467D">
        <w:t xml:space="preserve"> Lo anterior, se puede apreciar en la </w:t>
      </w:r>
      <w:r w:rsidR="006A467D">
        <w:fldChar w:fldCharType="begin"/>
      </w:r>
      <w:r w:rsidR="006A467D">
        <w:instrText xml:space="preserve"> REF _Ref113234467 \h </w:instrText>
      </w:r>
      <w:r w:rsidR="006A467D">
        <w:fldChar w:fldCharType="separate"/>
      </w:r>
      <w:r w:rsidR="007F4B16">
        <w:t xml:space="preserve">Ilustración </w:t>
      </w:r>
      <w:r w:rsidR="007F4B16">
        <w:rPr>
          <w:noProof/>
        </w:rPr>
        <w:t>6</w:t>
      </w:r>
      <w:r w:rsidR="006A467D">
        <w:fldChar w:fldCharType="end"/>
      </w:r>
      <w:r w:rsidR="006A467D">
        <w:t>.</w:t>
      </w:r>
    </w:p>
    <w:p w14:paraId="3D819629" w14:textId="7F0E7DDC" w:rsidR="000750CF" w:rsidRDefault="000750CF" w:rsidP="00BC1EEC">
      <w:pPr>
        <w:pStyle w:val="Descripcin"/>
      </w:pPr>
    </w:p>
    <w:p w14:paraId="3E227ACA" w14:textId="77777777" w:rsidR="002C63A7" w:rsidRDefault="004F35C8" w:rsidP="002C63A7">
      <w:pPr>
        <w:keepNext/>
        <w:jc w:val="center"/>
      </w:pPr>
      <w:r>
        <w:rPr>
          <w:noProof/>
        </w:rPr>
        <w:lastRenderedPageBreak/>
        <w:drawing>
          <wp:inline distT="0" distB="0" distL="0" distR="0" wp14:anchorId="475A932C" wp14:editId="19E0A92B">
            <wp:extent cx="5760000" cy="2880000"/>
            <wp:effectExtent l="0" t="0" r="0" b="0"/>
            <wp:docPr id="24" name="Gráfico 24">
              <a:extLst xmlns:a="http://schemas.openxmlformats.org/drawingml/2006/main">
                <a:ext uri="{FF2B5EF4-FFF2-40B4-BE49-F238E27FC236}">
                  <a16:creationId xmlns:a16="http://schemas.microsoft.com/office/drawing/2014/main" id="{00000000-0008-0000-1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9FF6BFD" w14:textId="28A69D17" w:rsidR="00771374" w:rsidRDefault="002C63A7" w:rsidP="002C63A7">
      <w:pPr>
        <w:pStyle w:val="Descripcin"/>
      </w:pPr>
      <w:bookmarkStart w:id="7" w:name="_Ref113234467"/>
      <w:r>
        <w:t xml:space="preserve">Ilustración </w:t>
      </w:r>
      <w:fldSimple w:instr=" SEQ Ilustración \* ARABIC ">
        <w:r w:rsidR="007F4B16">
          <w:rPr>
            <w:noProof/>
          </w:rPr>
          <w:t>6</w:t>
        </w:r>
      </w:fldSimple>
      <w:bookmarkEnd w:id="7"/>
      <w:r>
        <w:t>: Endeudamiento</w:t>
      </w:r>
    </w:p>
    <w:p w14:paraId="14ADFA8F" w14:textId="12CA1E31" w:rsidR="00DB6004" w:rsidRDefault="00DB6004" w:rsidP="007303DA">
      <w:pPr>
        <w:spacing w:before="100" w:beforeAutospacing="1" w:after="120"/>
        <w:jc w:val="both"/>
      </w:pPr>
      <w:r w:rsidRPr="00DB6004">
        <w:t>Por otro lado, el indicador de cobertura calculado como colocaciones</w:t>
      </w:r>
      <w:r w:rsidR="00582419">
        <w:rPr>
          <w:rStyle w:val="Refdenotaalpie"/>
        </w:rPr>
        <w:footnoteReference w:id="23"/>
      </w:r>
      <w:r w:rsidRPr="00DB6004">
        <w:t xml:space="preserve"> sobre deuda financiera, se ha mantenido en niveles estables en el periodo de evaluación</w:t>
      </w:r>
      <w:r w:rsidR="00F7256B">
        <w:t>, aunque con una leve tendencia al alza en marzo de 2022, exhibiendo</w:t>
      </w:r>
      <w:r w:rsidR="004353BA">
        <w:t xml:space="preserve"> un indicador de 0,86 veces, tal como lo muestra la siguiente imagen.</w:t>
      </w:r>
    </w:p>
    <w:p w14:paraId="76D08749" w14:textId="77777777" w:rsidR="006A467D" w:rsidRDefault="006A467D" w:rsidP="007303DA">
      <w:pPr>
        <w:spacing w:before="100" w:beforeAutospacing="1" w:after="120"/>
        <w:jc w:val="both"/>
      </w:pPr>
    </w:p>
    <w:p w14:paraId="280AA4B3" w14:textId="77777777" w:rsidR="005501AC" w:rsidRDefault="005501AC" w:rsidP="006A467D">
      <w:pPr>
        <w:keepNext/>
        <w:spacing w:after="120"/>
        <w:jc w:val="center"/>
      </w:pPr>
      <w:r>
        <w:rPr>
          <w:noProof/>
        </w:rPr>
        <w:lastRenderedPageBreak/>
        <w:drawing>
          <wp:inline distT="0" distB="0" distL="0" distR="0" wp14:anchorId="4EE85325" wp14:editId="1036348C">
            <wp:extent cx="5760000" cy="2880000"/>
            <wp:effectExtent l="0" t="0" r="0" b="0"/>
            <wp:docPr id="25" name="Gráfico 25">
              <a:extLst xmlns:a="http://schemas.openxmlformats.org/drawingml/2006/main">
                <a:ext uri="{FF2B5EF4-FFF2-40B4-BE49-F238E27FC236}">
                  <a16:creationId xmlns:a16="http://schemas.microsoft.com/office/drawing/2014/main" id="{00000000-0008-0000-1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E0FE622" w14:textId="64A71AB7" w:rsidR="005501AC" w:rsidRPr="00DB6004" w:rsidRDefault="005501AC" w:rsidP="006A467D">
      <w:pPr>
        <w:pStyle w:val="Descripcin"/>
        <w:spacing w:after="120"/>
      </w:pPr>
      <w:r>
        <w:t xml:space="preserve">Ilustración </w:t>
      </w:r>
      <w:fldSimple w:instr=" SEQ Ilustración \* ARABIC ">
        <w:r w:rsidR="007F4B16">
          <w:rPr>
            <w:noProof/>
          </w:rPr>
          <w:t>7</w:t>
        </w:r>
      </w:fldSimple>
      <w:r>
        <w:t>: Colocaciones/Deuda Financiera</w:t>
      </w:r>
    </w:p>
    <w:p w14:paraId="4151BBB8" w14:textId="779B5FE0" w:rsidR="00AE7013" w:rsidRDefault="00AE7013" w:rsidP="005501AC">
      <w:pPr>
        <w:spacing w:after="120"/>
      </w:pPr>
    </w:p>
    <w:p w14:paraId="6F2BCA7E" w14:textId="4E1EEE9F" w:rsidR="00E209EF" w:rsidRDefault="009F7A93" w:rsidP="005501AC">
      <w:pPr>
        <w:pStyle w:val="Ttulo"/>
        <w:spacing w:after="120" w:line="240" w:lineRule="auto"/>
        <w:rPr>
          <w:lang w:val="es-ES"/>
        </w:rPr>
      </w:pPr>
      <w:r>
        <w:rPr>
          <w:lang w:val="es-ES"/>
        </w:rPr>
        <w:t>Evolución de la r</w:t>
      </w:r>
      <w:r w:rsidR="00464EAD" w:rsidRPr="00464EAD">
        <w:rPr>
          <w:lang w:val="es-ES"/>
        </w:rPr>
        <w:t>entabilidad</w:t>
      </w:r>
      <w:r w:rsidR="003C1F4D">
        <w:rPr>
          <w:rStyle w:val="Refdenotaalpie"/>
          <w:lang w:val="es-ES"/>
        </w:rPr>
        <w:footnoteReference w:id="24"/>
      </w:r>
    </w:p>
    <w:p w14:paraId="09F4AC80" w14:textId="22315AA8" w:rsidR="00DF335C" w:rsidRDefault="00934023" w:rsidP="005501AC">
      <w:pPr>
        <w:spacing w:after="120"/>
        <w:jc w:val="both"/>
      </w:pPr>
      <w:r>
        <w:t>Respecto</w:t>
      </w:r>
      <w:r w:rsidR="00C33ECC">
        <w:t xml:space="preserve"> a lo</w:t>
      </w:r>
      <w:r w:rsidR="00741675">
        <w:t>s indicadores de rentabilidad</w:t>
      </w:r>
      <w:r w:rsidR="001A4E77">
        <w:t xml:space="preserve"> de </w:t>
      </w:r>
      <w:r w:rsidR="001A4E77">
        <w:rPr>
          <w:b/>
          <w:bCs/>
        </w:rPr>
        <w:t>CCAF La Araucana</w:t>
      </w:r>
      <w:r w:rsidR="00741675">
        <w:t xml:space="preserve">, estos han presentado un comportamiento estable desde su </w:t>
      </w:r>
      <w:r w:rsidR="00336285">
        <w:t>baja en 2020 producto</w:t>
      </w:r>
      <w:r w:rsidR="008970B1">
        <w:t xml:space="preserve"> de la contracción consecutiva de sus ingresos.</w:t>
      </w:r>
      <w:r w:rsidR="00A567FA">
        <w:t xml:space="preserve"> Al </w:t>
      </w:r>
      <w:r w:rsidR="001A4E77">
        <w:t>cierre de marzo de 2022</w:t>
      </w:r>
      <w:r w:rsidR="002C5723">
        <w:t>, la rentabilidad de</w:t>
      </w:r>
      <w:r w:rsidR="00F032ED">
        <w:t>l activo y del patrimonio</w:t>
      </w:r>
      <w:r w:rsidR="00D82C48">
        <w:t xml:space="preserve"> fue de </w:t>
      </w:r>
      <w:r w:rsidR="00B85B0C">
        <w:t>0,88% y 3,16%. La</w:t>
      </w:r>
      <w:r w:rsidR="001118DD">
        <w:t xml:space="preserve"> </w:t>
      </w:r>
      <w:r w:rsidR="001118DD">
        <w:fldChar w:fldCharType="begin"/>
      </w:r>
      <w:r w:rsidR="001118DD">
        <w:instrText xml:space="preserve"> REF _Ref113234731 \h </w:instrText>
      </w:r>
      <w:r w:rsidR="001118DD">
        <w:fldChar w:fldCharType="separate"/>
      </w:r>
      <w:r w:rsidR="007F4B16">
        <w:t xml:space="preserve">Ilustración </w:t>
      </w:r>
      <w:r w:rsidR="007F4B16">
        <w:rPr>
          <w:noProof/>
        </w:rPr>
        <w:t>8</w:t>
      </w:r>
      <w:r w:rsidR="001118DD">
        <w:fldChar w:fldCharType="end"/>
      </w:r>
      <w:r w:rsidR="00B85B0C">
        <w:t xml:space="preserve"> muestra el comportamiento de ambos indicadores en los últimos años.</w:t>
      </w:r>
    </w:p>
    <w:p w14:paraId="4B16D5D7" w14:textId="46E04DB9" w:rsidR="000750CF" w:rsidRDefault="000750CF" w:rsidP="00C11D31">
      <w:pPr>
        <w:jc w:val="both"/>
      </w:pPr>
    </w:p>
    <w:p w14:paraId="1C038370" w14:textId="77777777" w:rsidR="00B85B0C" w:rsidRDefault="007E4709" w:rsidP="00B85B0C">
      <w:pPr>
        <w:keepNext/>
        <w:spacing w:after="120"/>
        <w:jc w:val="center"/>
      </w:pPr>
      <w:r>
        <w:rPr>
          <w:noProof/>
        </w:rPr>
        <w:lastRenderedPageBreak/>
        <w:drawing>
          <wp:inline distT="0" distB="0" distL="0" distR="0" wp14:anchorId="0E361136" wp14:editId="3AEAEA75">
            <wp:extent cx="5760000" cy="2880000"/>
            <wp:effectExtent l="0" t="0" r="0" b="0"/>
            <wp:docPr id="26" name="Gráfico 26">
              <a:extLst xmlns:a="http://schemas.openxmlformats.org/drawingml/2006/main">
                <a:ext uri="{FF2B5EF4-FFF2-40B4-BE49-F238E27FC236}">
                  <a16:creationId xmlns:a16="http://schemas.microsoft.com/office/drawing/2014/main" id="{00000000-0008-0000-1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4E388AB" w14:textId="1C7F28D1" w:rsidR="007E4709" w:rsidRDefault="00B85B0C" w:rsidP="00B85B0C">
      <w:pPr>
        <w:pStyle w:val="Descripcin"/>
        <w:spacing w:after="120"/>
      </w:pPr>
      <w:bookmarkStart w:id="8" w:name="_Ref113234731"/>
      <w:r>
        <w:t xml:space="preserve">Ilustración </w:t>
      </w:r>
      <w:fldSimple w:instr=" SEQ Ilustración \* ARABIC ">
        <w:r w:rsidR="007F4B16">
          <w:rPr>
            <w:noProof/>
          </w:rPr>
          <w:t>8</w:t>
        </w:r>
      </w:fldSimple>
      <w:bookmarkEnd w:id="8"/>
      <w:r>
        <w:t>: Rentabilidad</w:t>
      </w:r>
    </w:p>
    <w:p w14:paraId="316E6665" w14:textId="0443B893" w:rsidR="0044268E" w:rsidRDefault="0044268E" w:rsidP="00527FCC">
      <w:pPr>
        <w:jc w:val="center"/>
        <w:rPr>
          <w:lang w:val="es-ES"/>
        </w:rPr>
      </w:pPr>
    </w:p>
    <w:p w14:paraId="0F467802" w14:textId="484C8B11" w:rsidR="00464EAD" w:rsidRPr="00464EAD" w:rsidRDefault="009F7A93" w:rsidP="0042037C">
      <w:pPr>
        <w:pStyle w:val="Ttulo"/>
        <w:spacing w:after="120" w:line="240" w:lineRule="auto"/>
        <w:rPr>
          <w:lang w:val="es-ES"/>
        </w:rPr>
      </w:pPr>
      <w:r>
        <w:rPr>
          <w:lang w:val="es-ES"/>
        </w:rPr>
        <w:t>Evolución de la e</w:t>
      </w:r>
      <w:r w:rsidR="007A5E52" w:rsidRPr="007A5E52">
        <w:rPr>
          <w:lang w:val="es-ES"/>
        </w:rPr>
        <w:t>ficiencia</w:t>
      </w:r>
      <w:r w:rsidR="007A5E52" w:rsidRPr="007A5E52">
        <w:rPr>
          <w:lang w:val="es-ES"/>
        </w:rPr>
        <w:tab/>
      </w:r>
    </w:p>
    <w:p w14:paraId="1CC2EA01" w14:textId="0ED7F0FA" w:rsidR="00ED7842" w:rsidRDefault="00BD14EB" w:rsidP="0042037C">
      <w:pPr>
        <w:keepNext/>
        <w:spacing w:after="120"/>
        <w:jc w:val="both"/>
      </w:pPr>
      <w:r w:rsidRPr="00BD14EB">
        <w:t>La eficiencia de la compañía, medida como gastos de beneficios a los empleados como porcentaje de los ingresos</w:t>
      </w:r>
      <w:r w:rsidR="00E36F78">
        <w:rPr>
          <w:rStyle w:val="Refdenotaalpie"/>
        </w:rPr>
        <w:footnoteReference w:id="25"/>
      </w:r>
      <w:r w:rsidRPr="00BD14EB">
        <w:t>, luego de presentar una baja</w:t>
      </w:r>
      <w:r w:rsidR="00326446">
        <w:t xml:space="preserve"> sustancial durante 2019 y 2020</w:t>
      </w:r>
      <w:r w:rsidR="00BF09B7">
        <w:t xml:space="preserve"> (con indicadores </w:t>
      </w:r>
      <w:r w:rsidR="00156D5A">
        <w:t>bajo el 35%)</w:t>
      </w:r>
      <w:r w:rsidR="00F80C81">
        <w:t>, muestra un</w:t>
      </w:r>
      <w:r w:rsidR="008F799E">
        <w:t xml:space="preserve"> alza</w:t>
      </w:r>
      <w:r w:rsidR="00FD1A83">
        <w:t xml:space="preserve"> en diciembre de 202</w:t>
      </w:r>
      <w:r w:rsidR="00D42BC7">
        <w:t>1, en donde alcanzó un nivel de eficiencia de 38,5%, mientras que a marzo de 2022 la tendencia se mantuvo, mo</w:t>
      </w:r>
      <w:r w:rsidR="0096352B">
        <w:t>strand</w:t>
      </w:r>
      <w:r w:rsidR="00350922">
        <w:t>o un indicado de 38,8%. Lo anterior, se ve reflejado en la</w:t>
      </w:r>
      <w:r w:rsidR="001118DD">
        <w:t xml:space="preserve"> </w:t>
      </w:r>
      <w:r w:rsidR="001118DD">
        <w:rPr>
          <w:highlight w:val="yellow"/>
        </w:rPr>
        <w:fldChar w:fldCharType="begin"/>
      </w:r>
      <w:r w:rsidR="001118DD">
        <w:instrText xml:space="preserve"> REF _Ref113234751 \h </w:instrText>
      </w:r>
      <w:r w:rsidR="001118DD">
        <w:rPr>
          <w:highlight w:val="yellow"/>
        </w:rPr>
      </w:r>
      <w:r w:rsidR="001118DD">
        <w:rPr>
          <w:highlight w:val="yellow"/>
        </w:rPr>
        <w:fldChar w:fldCharType="separate"/>
      </w:r>
      <w:r w:rsidR="007F4B16">
        <w:t xml:space="preserve">Ilustración </w:t>
      </w:r>
      <w:r w:rsidR="007F4B16">
        <w:rPr>
          <w:noProof/>
        </w:rPr>
        <w:t>9</w:t>
      </w:r>
      <w:r w:rsidR="001118DD">
        <w:rPr>
          <w:highlight w:val="yellow"/>
        </w:rPr>
        <w:fldChar w:fldCharType="end"/>
      </w:r>
      <w:r w:rsidR="001118DD">
        <w:t>.</w:t>
      </w:r>
    </w:p>
    <w:p w14:paraId="4C6D9D2F" w14:textId="2433E3BA" w:rsidR="00AE7013" w:rsidRDefault="00AE7013" w:rsidP="00AE7013"/>
    <w:p w14:paraId="75B40D44" w14:textId="176DDA79" w:rsidR="00AE7013" w:rsidRDefault="00AE7013" w:rsidP="00AE7013"/>
    <w:p w14:paraId="6C6315AB" w14:textId="3043266D" w:rsidR="00AE7013" w:rsidRDefault="00AE7013" w:rsidP="00AE7013"/>
    <w:p w14:paraId="1B25ED41" w14:textId="190B9F4C" w:rsidR="00AE7013" w:rsidRDefault="00AE7013" w:rsidP="00AE7013"/>
    <w:p w14:paraId="572C68EB" w14:textId="77777777" w:rsidR="00727BD8" w:rsidRDefault="00727BD8" w:rsidP="00727BD8">
      <w:pPr>
        <w:keepNext/>
        <w:jc w:val="center"/>
      </w:pPr>
      <w:r>
        <w:rPr>
          <w:noProof/>
        </w:rPr>
        <w:lastRenderedPageBreak/>
        <w:drawing>
          <wp:inline distT="0" distB="0" distL="0" distR="0" wp14:anchorId="555B18C2" wp14:editId="065EDF3D">
            <wp:extent cx="5760000" cy="2880000"/>
            <wp:effectExtent l="0" t="0" r="0" b="0"/>
            <wp:docPr id="27" name="Gráfico 27">
              <a:extLst xmlns:a="http://schemas.openxmlformats.org/drawingml/2006/main">
                <a:ext uri="{FF2B5EF4-FFF2-40B4-BE49-F238E27FC236}">
                  <a16:creationId xmlns:a16="http://schemas.microsoft.com/office/drawing/2014/main" id="{00000000-0008-0000-1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EEAB858" w14:textId="7F1D8C17" w:rsidR="00A82A51" w:rsidRDefault="00727BD8" w:rsidP="00612BF1">
      <w:pPr>
        <w:pStyle w:val="Descripcin"/>
      </w:pPr>
      <w:bookmarkStart w:id="9" w:name="_Ref113234751"/>
      <w:r>
        <w:t xml:space="preserve">Ilustración </w:t>
      </w:r>
      <w:fldSimple w:instr=" SEQ Ilustración \* ARABIC ">
        <w:r w:rsidR="007F4B16">
          <w:rPr>
            <w:noProof/>
          </w:rPr>
          <w:t>9</w:t>
        </w:r>
      </w:fldSimple>
      <w:bookmarkEnd w:id="9"/>
      <w:r>
        <w:t>: Eficiencia</w:t>
      </w:r>
    </w:p>
    <w:p w14:paraId="390332BF" w14:textId="77777777" w:rsidR="00C312F7" w:rsidRPr="00C312F7" w:rsidRDefault="00C312F7" w:rsidP="00C312F7"/>
    <w:p w14:paraId="69908813" w14:textId="0F71879B" w:rsidR="001B7C29" w:rsidRPr="00C312F7" w:rsidRDefault="002D1895" w:rsidP="00C312F7">
      <w:pPr>
        <w:keepNext/>
        <w:spacing w:after="120"/>
        <w:jc w:val="both"/>
        <w:rPr>
          <w:rFonts w:eastAsiaTheme="majorEastAsia" w:cstheme="majorBidi"/>
          <w:b/>
          <w:sz w:val="44"/>
          <w:szCs w:val="32"/>
          <w:lang w:val="es-ES"/>
        </w:rPr>
      </w:pPr>
      <w:proofErr w:type="spellStart"/>
      <w:r w:rsidRPr="00C312F7">
        <w:rPr>
          <w:rFonts w:eastAsiaTheme="majorEastAsia" w:cstheme="majorBidi"/>
          <w:b/>
          <w:i/>
          <w:iCs/>
          <w:sz w:val="44"/>
          <w:szCs w:val="32"/>
          <w:lang w:val="es-ES"/>
        </w:rPr>
        <w:t>Covenants</w:t>
      </w:r>
      <w:proofErr w:type="spellEnd"/>
      <w:r w:rsidRPr="00C312F7">
        <w:rPr>
          <w:rFonts w:eastAsiaTheme="majorEastAsia" w:cstheme="majorBidi"/>
          <w:b/>
          <w:sz w:val="44"/>
          <w:szCs w:val="32"/>
          <w:lang w:val="es-ES"/>
        </w:rPr>
        <w:t xml:space="preserve"> </w:t>
      </w:r>
      <w:r w:rsidR="00C312F7">
        <w:rPr>
          <w:rFonts w:eastAsiaTheme="majorEastAsia" w:cstheme="majorBidi"/>
          <w:b/>
          <w:sz w:val="44"/>
          <w:szCs w:val="32"/>
          <w:lang w:val="es-ES"/>
        </w:rPr>
        <w:t>f</w:t>
      </w:r>
      <w:r w:rsidRPr="00C312F7">
        <w:rPr>
          <w:rFonts w:eastAsiaTheme="majorEastAsia" w:cstheme="majorBidi"/>
          <w:b/>
          <w:sz w:val="44"/>
          <w:szCs w:val="32"/>
          <w:lang w:val="es-ES"/>
        </w:rPr>
        <w:t>inancieros</w:t>
      </w:r>
    </w:p>
    <w:p w14:paraId="4F2BB431" w14:textId="77777777" w:rsidR="00242EC2" w:rsidRPr="00431214" w:rsidRDefault="00242EC2" w:rsidP="007303DA">
      <w:pPr>
        <w:spacing w:after="120"/>
        <w:jc w:val="both"/>
        <w:rPr>
          <w:rFonts w:ascii="Myriad Pro Light" w:eastAsiaTheme="majorEastAsia" w:hAnsi="Myriad Pro Light" w:cstheme="majorBidi"/>
          <w:b/>
          <w:spacing w:val="-10"/>
          <w:kern w:val="28"/>
          <w:sz w:val="28"/>
          <w:szCs w:val="56"/>
          <w:lang w:val="es-ES"/>
        </w:rPr>
      </w:pPr>
    </w:p>
    <w:tbl>
      <w:tblPr>
        <w:tblW w:w="8306" w:type="dxa"/>
        <w:jc w:val="center"/>
        <w:tblCellMar>
          <w:left w:w="70" w:type="dxa"/>
          <w:right w:w="70" w:type="dxa"/>
        </w:tblCellMar>
        <w:tblLook w:val="04A0" w:firstRow="1" w:lastRow="0" w:firstColumn="1" w:lastColumn="0" w:noHBand="0" w:noVBand="1"/>
      </w:tblPr>
      <w:tblGrid>
        <w:gridCol w:w="4621"/>
        <w:gridCol w:w="2268"/>
        <w:gridCol w:w="1417"/>
      </w:tblGrid>
      <w:tr w:rsidR="008609A4" w:rsidRPr="00464587" w14:paraId="38EE8DCA" w14:textId="77777777" w:rsidTr="00464587">
        <w:trPr>
          <w:trHeight w:val="283"/>
          <w:jc w:val="center"/>
        </w:trPr>
        <w:tc>
          <w:tcPr>
            <w:tcW w:w="4621" w:type="dxa"/>
            <w:tcBorders>
              <w:top w:val="nil"/>
              <w:left w:val="nil"/>
              <w:bottom w:val="nil"/>
              <w:right w:val="nil"/>
            </w:tcBorders>
            <w:shd w:val="clear" w:color="000000" w:fill="BB1823"/>
            <w:vAlign w:val="center"/>
          </w:tcPr>
          <w:p w14:paraId="1F99E218" w14:textId="77777777" w:rsidR="008609A4" w:rsidRPr="00464587" w:rsidRDefault="008609A4" w:rsidP="004725EA">
            <w:pPr>
              <w:rPr>
                <w:rFonts w:eastAsia="Times New Roman" w:cs="Arial"/>
                <w:b/>
                <w:bCs/>
                <w:color w:val="FFFFFF"/>
                <w:sz w:val="18"/>
                <w:szCs w:val="18"/>
                <w:lang w:eastAsia="es-CL"/>
              </w:rPr>
            </w:pPr>
          </w:p>
        </w:tc>
        <w:tc>
          <w:tcPr>
            <w:tcW w:w="2268" w:type="dxa"/>
            <w:tcBorders>
              <w:top w:val="nil"/>
              <w:left w:val="nil"/>
              <w:bottom w:val="nil"/>
              <w:right w:val="nil"/>
            </w:tcBorders>
            <w:shd w:val="clear" w:color="000000" w:fill="BB1823"/>
            <w:vAlign w:val="center"/>
          </w:tcPr>
          <w:p w14:paraId="6D836BF6" w14:textId="72D2F886" w:rsidR="008609A4" w:rsidRPr="00464587" w:rsidRDefault="008609A4" w:rsidP="00D83BC6">
            <w:pPr>
              <w:jc w:val="center"/>
              <w:rPr>
                <w:rFonts w:eastAsia="Times New Roman" w:cs="Arial"/>
                <w:b/>
                <w:bCs/>
                <w:color w:val="FFFFFF"/>
                <w:sz w:val="18"/>
                <w:szCs w:val="18"/>
                <w:lang w:eastAsia="es-CL"/>
              </w:rPr>
            </w:pPr>
            <w:proofErr w:type="spellStart"/>
            <w:r w:rsidRPr="00464587">
              <w:rPr>
                <w:rFonts w:eastAsia="Times New Roman" w:cs="Arial"/>
                <w:b/>
                <w:bCs/>
                <w:i/>
                <w:iCs/>
                <w:color w:val="FFFFFF"/>
                <w:sz w:val="18"/>
                <w:szCs w:val="18"/>
                <w:lang w:eastAsia="es-CL"/>
              </w:rPr>
              <w:t>Covenants</w:t>
            </w:r>
            <w:proofErr w:type="spellEnd"/>
            <w:r w:rsidRPr="00464587">
              <w:rPr>
                <w:rFonts w:eastAsia="Times New Roman" w:cs="Arial"/>
                <w:b/>
                <w:bCs/>
                <w:i/>
                <w:iCs/>
                <w:color w:val="FFFFFF"/>
                <w:sz w:val="18"/>
                <w:szCs w:val="18"/>
                <w:lang w:eastAsia="es-CL"/>
              </w:rPr>
              <w:t xml:space="preserve"> financieros</w:t>
            </w:r>
          </w:p>
        </w:tc>
        <w:tc>
          <w:tcPr>
            <w:tcW w:w="1417" w:type="dxa"/>
            <w:tcBorders>
              <w:top w:val="nil"/>
              <w:left w:val="nil"/>
              <w:bottom w:val="nil"/>
              <w:right w:val="nil"/>
            </w:tcBorders>
            <w:shd w:val="clear" w:color="000000" w:fill="BB1823"/>
            <w:vAlign w:val="center"/>
          </w:tcPr>
          <w:p w14:paraId="65D1B3E0" w14:textId="77777777" w:rsidR="008609A4" w:rsidRPr="00464587" w:rsidRDefault="008609A4" w:rsidP="00D83BC6">
            <w:pPr>
              <w:jc w:val="center"/>
              <w:rPr>
                <w:rFonts w:eastAsia="Times New Roman" w:cs="Arial"/>
                <w:b/>
                <w:bCs/>
                <w:color w:val="FFFFFF"/>
                <w:sz w:val="18"/>
                <w:szCs w:val="18"/>
                <w:lang w:eastAsia="es-CL"/>
              </w:rPr>
            </w:pPr>
          </w:p>
        </w:tc>
      </w:tr>
      <w:tr w:rsidR="002E53B4" w:rsidRPr="00464587" w14:paraId="0F3D2C64" w14:textId="77777777" w:rsidTr="00464587">
        <w:trPr>
          <w:trHeight w:val="283"/>
          <w:jc w:val="center"/>
        </w:trPr>
        <w:tc>
          <w:tcPr>
            <w:tcW w:w="4621" w:type="dxa"/>
            <w:tcBorders>
              <w:top w:val="nil"/>
              <w:left w:val="nil"/>
              <w:bottom w:val="nil"/>
              <w:right w:val="nil"/>
            </w:tcBorders>
            <w:shd w:val="clear" w:color="000000" w:fill="BB1823"/>
            <w:vAlign w:val="center"/>
            <w:hideMark/>
          </w:tcPr>
          <w:p w14:paraId="18F1098A" w14:textId="7BCE5F0E" w:rsidR="00242EC2" w:rsidRPr="00464587" w:rsidRDefault="00242EC2" w:rsidP="004725EA">
            <w:pPr>
              <w:rPr>
                <w:rFonts w:eastAsia="Times New Roman" w:cs="Arial"/>
                <w:b/>
                <w:bCs/>
                <w:color w:val="FFFFFF"/>
                <w:sz w:val="18"/>
                <w:szCs w:val="18"/>
                <w:lang w:eastAsia="es-CL"/>
              </w:rPr>
            </w:pPr>
          </w:p>
        </w:tc>
        <w:tc>
          <w:tcPr>
            <w:tcW w:w="2268" w:type="dxa"/>
            <w:tcBorders>
              <w:top w:val="nil"/>
              <w:left w:val="nil"/>
              <w:bottom w:val="nil"/>
              <w:right w:val="nil"/>
            </w:tcBorders>
            <w:shd w:val="clear" w:color="000000" w:fill="BB1823"/>
            <w:vAlign w:val="center"/>
            <w:hideMark/>
          </w:tcPr>
          <w:p w14:paraId="7207AF99" w14:textId="444E9343" w:rsidR="00242EC2" w:rsidRPr="00464587" w:rsidRDefault="00242EC2" w:rsidP="00D83BC6">
            <w:pPr>
              <w:jc w:val="center"/>
              <w:rPr>
                <w:rFonts w:eastAsia="Times New Roman" w:cs="Arial"/>
                <w:b/>
                <w:bCs/>
                <w:color w:val="FFFFFF"/>
                <w:sz w:val="18"/>
                <w:szCs w:val="18"/>
                <w:lang w:eastAsia="es-CL"/>
              </w:rPr>
            </w:pPr>
            <w:r w:rsidRPr="00464587">
              <w:rPr>
                <w:rFonts w:eastAsia="Times New Roman" w:cs="Arial"/>
                <w:b/>
                <w:bCs/>
                <w:color w:val="FFFFFF"/>
                <w:sz w:val="18"/>
                <w:szCs w:val="18"/>
                <w:lang w:eastAsia="es-CL"/>
              </w:rPr>
              <w:t>Líneas de bonos</w:t>
            </w:r>
          </w:p>
        </w:tc>
        <w:tc>
          <w:tcPr>
            <w:tcW w:w="1417" w:type="dxa"/>
            <w:tcBorders>
              <w:top w:val="nil"/>
              <w:left w:val="nil"/>
              <w:bottom w:val="nil"/>
              <w:right w:val="nil"/>
            </w:tcBorders>
            <w:shd w:val="clear" w:color="000000" w:fill="BB1823"/>
            <w:vAlign w:val="center"/>
            <w:hideMark/>
          </w:tcPr>
          <w:p w14:paraId="2BE870D4" w14:textId="548AB719" w:rsidR="00242EC2" w:rsidRPr="00464587" w:rsidRDefault="00242EC2" w:rsidP="00D83BC6">
            <w:pPr>
              <w:jc w:val="center"/>
              <w:rPr>
                <w:rFonts w:eastAsia="Times New Roman" w:cs="Arial"/>
                <w:b/>
                <w:bCs/>
                <w:color w:val="FFFFFF"/>
                <w:sz w:val="18"/>
                <w:szCs w:val="18"/>
                <w:lang w:eastAsia="es-CL"/>
              </w:rPr>
            </w:pPr>
            <w:r w:rsidRPr="00464587">
              <w:rPr>
                <w:rFonts w:eastAsia="Times New Roman" w:cs="Arial"/>
                <w:b/>
                <w:bCs/>
                <w:color w:val="FFFFFF"/>
                <w:sz w:val="18"/>
                <w:szCs w:val="18"/>
                <w:lang w:eastAsia="es-CL"/>
              </w:rPr>
              <w:t>mar-22</w:t>
            </w:r>
          </w:p>
        </w:tc>
      </w:tr>
      <w:tr w:rsidR="002E53B4" w:rsidRPr="00464587" w14:paraId="23F8CEC1" w14:textId="77777777" w:rsidTr="00464587">
        <w:trPr>
          <w:trHeight w:val="283"/>
          <w:jc w:val="center"/>
        </w:trPr>
        <w:tc>
          <w:tcPr>
            <w:tcW w:w="4621" w:type="dxa"/>
            <w:tcBorders>
              <w:top w:val="nil"/>
              <w:left w:val="nil"/>
              <w:bottom w:val="nil"/>
              <w:right w:val="nil"/>
            </w:tcBorders>
            <w:shd w:val="clear" w:color="000000" w:fill="BB1823"/>
            <w:noWrap/>
            <w:vAlign w:val="center"/>
            <w:hideMark/>
          </w:tcPr>
          <w:p w14:paraId="38DCB4B9" w14:textId="61FFE2FD" w:rsidR="00242EC2" w:rsidRPr="00464587" w:rsidRDefault="00242EC2" w:rsidP="004725EA">
            <w:pPr>
              <w:rPr>
                <w:rFonts w:eastAsia="Times New Roman" w:cs="Arial"/>
                <w:b/>
                <w:bCs/>
                <w:color w:val="FFFFFF"/>
                <w:sz w:val="18"/>
                <w:szCs w:val="18"/>
                <w:lang w:eastAsia="es-CL"/>
              </w:rPr>
            </w:pPr>
            <w:r w:rsidRPr="00464587">
              <w:rPr>
                <w:rFonts w:eastAsia="Times New Roman" w:cs="Arial"/>
                <w:b/>
                <w:bCs/>
                <w:color w:val="FFFFFF"/>
                <w:sz w:val="18"/>
                <w:szCs w:val="18"/>
                <w:lang w:eastAsia="es-CL"/>
              </w:rPr>
              <w:t>Cartera neta/Deuda neta</w:t>
            </w:r>
          </w:p>
        </w:tc>
        <w:tc>
          <w:tcPr>
            <w:tcW w:w="2268" w:type="dxa"/>
            <w:tcBorders>
              <w:top w:val="dotted" w:sz="4" w:space="0" w:color="E6344B"/>
              <w:left w:val="nil"/>
              <w:bottom w:val="dotted" w:sz="4" w:space="0" w:color="E6344B"/>
              <w:right w:val="nil"/>
            </w:tcBorders>
            <w:shd w:val="clear" w:color="auto" w:fill="auto"/>
            <w:noWrap/>
            <w:vAlign w:val="center"/>
          </w:tcPr>
          <w:p w14:paraId="060DE01F" w14:textId="672AD685" w:rsidR="00242EC2" w:rsidRPr="00464587" w:rsidRDefault="002E53B4" w:rsidP="000F66AD">
            <w:pPr>
              <w:jc w:val="center"/>
              <w:rPr>
                <w:rFonts w:eastAsia="Times New Roman" w:cs="Arial"/>
                <w:color w:val="333D6B"/>
                <w:sz w:val="18"/>
                <w:szCs w:val="18"/>
                <w:lang w:eastAsia="es-CL"/>
              </w:rPr>
            </w:pPr>
            <w:r w:rsidRPr="00464587">
              <w:rPr>
                <w:rFonts w:cs="Calibri"/>
                <w:color w:val="333D6B"/>
                <w:sz w:val="18"/>
                <w:szCs w:val="18"/>
              </w:rPr>
              <w:t>Superior a 1,12 veces</w:t>
            </w:r>
          </w:p>
        </w:tc>
        <w:tc>
          <w:tcPr>
            <w:tcW w:w="1417" w:type="dxa"/>
            <w:tcBorders>
              <w:top w:val="dotted" w:sz="4" w:space="0" w:color="E6344B"/>
              <w:left w:val="nil"/>
              <w:bottom w:val="dotted" w:sz="4" w:space="0" w:color="E6344B"/>
              <w:right w:val="nil"/>
            </w:tcBorders>
            <w:shd w:val="clear" w:color="auto" w:fill="auto"/>
            <w:noWrap/>
            <w:vAlign w:val="center"/>
          </w:tcPr>
          <w:p w14:paraId="5D5BC09A" w14:textId="647F7E89" w:rsidR="00242EC2" w:rsidRPr="00464587" w:rsidRDefault="002E53B4" w:rsidP="00242EC2">
            <w:pPr>
              <w:jc w:val="center"/>
              <w:rPr>
                <w:rFonts w:eastAsia="Times New Roman" w:cs="Arial"/>
                <w:i/>
                <w:iCs/>
                <w:color w:val="333D6B"/>
                <w:sz w:val="18"/>
                <w:szCs w:val="18"/>
                <w:lang w:eastAsia="es-CL"/>
              </w:rPr>
            </w:pPr>
            <w:proofErr w:type="spellStart"/>
            <w:r w:rsidRPr="00464587">
              <w:rPr>
                <w:rFonts w:eastAsia="Times New Roman" w:cs="Arial"/>
                <w:i/>
                <w:iCs/>
                <w:color w:val="333D6B"/>
                <w:sz w:val="18"/>
                <w:szCs w:val="18"/>
                <w:lang w:eastAsia="es-CL"/>
              </w:rPr>
              <w:t>Waiver</w:t>
            </w:r>
            <w:proofErr w:type="spellEnd"/>
          </w:p>
        </w:tc>
      </w:tr>
      <w:tr w:rsidR="002E53B4" w:rsidRPr="00464587" w14:paraId="66583927" w14:textId="77777777" w:rsidTr="00464587">
        <w:trPr>
          <w:trHeight w:val="283"/>
          <w:jc w:val="center"/>
        </w:trPr>
        <w:tc>
          <w:tcPr>
            <w:tcW w:w="4621" w:type="dxa"/>
            <w:tcBorders>
              <w:top w:val="nil"/>
              <w:left w:val="nil"/>
              <w:bottom w:val="nil"/>
              <w:right w:val="nil"/>
            </w:tcBorders>
            <w:shd w:val="clear" w:color="000000" w:fill="BB1823"/>
            <w:noWrap/>
            <w:vAlign w:val="center"/>
            <w:hideMark/>
          </w:tcPr>
          <w:p w14:paraId="1B2090CA" w14:textId="01C743F9" w:rsidR="00242EC2" w:rsidRPr="00464587" w:rsidRDefault="00242EC2" w:rsidP="004725EA">
            <w:pPr>
              <w:rPr>
                <w:rFonts w:eastAsia="Times New Roman" w:cs="Arial"/>
                <w:b/>
                <w:bCs/>
                <w:color w:val="FFFFFF"/>
                <w:sz w:val="18"/>
                <w:szCs w:val="18"/>
                <w:lang w:eastAsia="es-CL"/>
              </w:rPr>
            </w:pPr>
            <w:r w:rsidRPr="00464587">
              <w:rPr>
                <w:rFonts w:eastAsia="Times New Roman" w:cs="Arial"/>
                <w:b/>
                <w:bCs/>
                <w:color w:val="FFFFFF"/>
                <w:sz w:val="18"/>
                <w:szCs w:val="18"/>
                <w:lang w:eastAsia="es-CL"/>
              </w:rPr>
              <w:t>Deuda neta/Patrimonio</w:t>
            </w:r>
          </w:p>
        </w:tc>
        <w:tc>
          <w:tcPr>
            <w:tcW w:w="2268" w:type="dxa"/>
            <w:tcBorders>
              <w:top w:val="nil"/>
              <w:left w:val="nil"/>
              <w:bottom w:val="dotted" w:sz="4" w:space="0" w:color="E6344B"/>
              <w:right w:val="nil"/>
            </w:tcBorders>
            <w:shd w:val="clear" w:color="auto" w:fill="auto"/>
            <w:noWrap/>
            <w:vAlign w:val="center"/>
          </w:tcPr>
          <w:p w14:paraId="4B5F6495" w14:textId="36E90EE1" w:rsidR="00242EC2" w:rsidRPr="00464587" w:rsidRDefault="002E53B4" w:rsidP="000F66AD">
            <w:pPr>
              <w:jc w:val="center"/>
              <w:rPr>
                <w:rFonts w:eastAsia="Times New Roman" w:cs="Arial"/>
                <w:color w:val="333D6B"/>
                <w:sz w:val="18"/>
                <w:szCs w:val="18"/>
                <w:lang w:eastAsia="es-CL"/>
              </w:rPr>
            </w:pPr>
            <w:r w:rsidRPr="00464587">
              <w:rPr>
                <w:rFonts w:eastAsia="Times New Roman" w:cs="Arial"/>
                <w:color w:val="333D6B"/>
                <w:sz w:val="18"/>
                <w:szCs w:val="18"/>
                <w:lang w:eastAsia="es-CL"/>
              </w:rPr>
              <w:t>Inferior a</w:t>
            </w:r>
            <w:r w:rsidR="003C5DCE" w:rsidRPr="00464587">
              <w:rPr>
                <w:rFonts w:eastAsia="Times New Roman" w:cs="Arial"/>
                <w:color w:val="333D6B"/>
                <w:sz w:val="18"/>
                <w:szCs w:val="18"/>
                <w:lang w:eastAsia="es-CL"/>
              </w:rPr>
              <w:t xml:space="preserve"> 3,23</w:t>
            </w:r>
            <w:r w:rsidR="00882327" w:rsidRPr="00464587">
              <w:rPr>
                <w:rFonts w:eastAsia="Times New Roman" w:cs="Arial"/>
                <w:color w:val="333D6B"/>
                <w:sz w:val="18"/>
                <w:szCs w:val="18"/>
                <w:lang w:eastAsia="es-CL"/>
              </w:rPr>
              <w:t xml:space="preserve"> veces</w:t>
            </w:r>
          </w:p>
        </w:tc>
        <w:tc>
          <w:tcPr>
            <w:tcW w:w="1417" w:type="dxa"/>
            <w:tcBorders>
              <w:top w:val="nil"/>
              <w:left w:val="nil"/>
              <w:bottom w:val="dotted" w:sz="4" w:space="0" w:color="E6344B"/>
              <w:right w:val="nil"/>
            </w:tcBorders>
            <w:shd w:val="clear" w:color="auto" w:fill="auto"/>
            <w:noWrap/>
            <w:vAlign w:val="center"/>
          </w:tcPr>
          <w:p w14:paraId="25A281BF" w14:textId="2FB20EB8" w:rsidR="00242EC2" w:rsidRPr="00464587" w:rsidRDefault="000F66AD" w:rsidP="00242EC2">
            <w:pPr>
              <w:jc w:val="center"/>
              <w:rPr>
                <w:rFonts w:eastAsia="Times New Roman" w:cs="Arial"/>
                <w:color w:val="333D6B"/>
                <w:sz w:val="18"/>
                <w:szCs w:val="18"/>
                <w:lang w:eastAsia="es-CL"/>
              </w:rPr>
            </w:pPr>
            <w:r w:rsidRPr="00464587">
              <w:rPr>
                <w:rFonts w:cs="Calibri"/>
                <w:color w:val="333D6B"/>
                <w:sz w:val="18"/>
                <w:szCs w:val="18"/>
              </w:rPr>
              <w:t>1,5 veces</w:t>
            </w:r>
          </w:p>
        </w:tc>
      </w:tr>
      <w:tr w:rsidR="002E53B4" w:rsidRPr="00464587" w14:paraId="019D9EE2" w14:textId="77777777" w:rsidTr="00464587">
        <w:trPr>
          <w:trHeight w:val="283"/>
          <w:jc w:val="center"/>
        </w:trPr>
        <w:tc>
          <w:tcPr>
            <w:tcW w:w="4621" w:type="dxa"/>
            <w:tcBorders>
              <w:top w:val="nil"/>
              <w:left w:val="nil"/>
              <w:bottom w:val="nil"/>
              <w:right w:val="nil"/>
            </w:tcBorders>
            <w:shd w:val="clear" w:color="000000" w:fill="BB1823"/>
            <w:noWrap/>
            <w:vAlign w:val="center"/>
            <w:hideMark/>
          </w:tcPr>
          <w:p w14:paraId="619572EB" w14:textId="69C37CF5" w:rsidR="00242EC2" w:rsidRPr="00464587" w:rsidRDefault="00242EC2" w:rsidP="004725EA">
            <w:pPr>
              <w:rPr>
                <w:rFonts w:eastAsia="Times New Roman" w:cs="Arial"/>
                <w:b/>
                <w:bCs/>
                <w:color w:val="FFFFFF"/>
                <w:sz w:val="18"/>
                <w:szCs w:val="18"/>
                <w:lang w:eastAsia="es-CL"/>
              </w:rPr>
            </w:pPr>
            <w:r w:rsidRPr="00464587">
              <w:rPr>
                <w:rFonts w:eastAsia="Times New Roman" w:cs="Arial"/>
                <w:b/>
                <w:bCs/>
                <w:color w:val="FFFFFF"/>
                <w:sz w:val="18"/>
                <w:szCs w:val="18"/>
                <w:lang w:eastAsia="es-CL"/>
              </w:rPr>
              <w:t>Gasto en provisión</w:t>
            </w:r>
          </w:p>
        </w:tc>
        <w:tc>
          <w:tcPr>
            <w:tcW w:w="2268" w:type="dxa"/>
            <w:tcBorders>
              <w:top w:val="nil"/>
              <w:left w:val="nil"/>
              <w:bottom w:val="dotted" w:sz="4" w:space="0" w:color="E6344B"/>
              <w:right w:val="nil"/>
            </w:tcBorders>
            <w:shd w:val="clear" w:color="auto" w:fill="auto"/>
            <w:noWrap/>
            <w:vAlign w:val="center"/>
          </w:tcPr>
          <w:p w14:paraId="3D6694D6" w14:textId="58CAA06D" w:rsidR="00242EC2" w:rsidRPr="00464587" w:rsidRDefault="005F6DF6" w:rsidP="000F66AD">
            <w:pPr>
              <w:jc w:val="center"/>
              <w:rPr>
                <w:rFonts w:eastAsia="Times New Roman" w:cs="Arial"/>
                <w:color w:val="333D6B"/>
                <w:sz w:val="18"/>
                <w:szCs w:val="18"/>
                <w:lang w:eastAsia="es-CL"/>
              </w:rPr>
            </w:pPr>
            <w:r w:rsidRPr="00464587">
              <w:rPr>
                <w:rFonts w:eastAsia="Times New Roman" w:cs="Arial"/>
                <w:color w:val="333D6B"/>
                <w:sz w:val="18"/>
                <w:szCs w:val="18"/>
                <w:lang w:eastAsia="es-CL"/>
              </w:rPr>
              <w:t>Inferior a</w:t>
            </w:r>
            <w:r w:rsidR="00882327" w:rsidRPr="00464587">
              <w:rPr>
                <w:rFonts w:eastAsia="Times New Roman" w:cs="Arial"/>
                <w:color w:val="333D6B"/>
                <w:sz w:val="18"/>
                <w:szCs w:val="18"/>
                <w:lang w:eastAsia="es-CL"/>
              </w:rPr>
              <w:t xml:space="preserve"> </w:t>
            </w:r>
            <w:r w:rsidR="001821A5" w:rsidRPr="00464587">
              <w:rPr>
                <w:rFonts w:eastAsia="Times New Roman" w:cs="Arial"/>
                <w:color w:val="333D6B"/>
                <w:sz w:val="18"/>
                <w:szCs w:val="18"/>
                <w:lang w:eastAsia="es-CL"/>
              </w:rPr>
              <w:t>5,0%</w:t>
            </w:r>
          </w:p>
        </w:tc>
        <w:tc>
          <w:tcPr>
            <w:tcW w:w="1417" w:type="dxa"/>
            <w:tcBorders>
              <w:top w:val="nil"/>
              <w:left w:val="nil"/>
              <w:bottom w:val="dotted" w:sz="4" w:space="0" w:color="E6344B"/>
              <w:right w:val="nil"/>
            </w:tcBorders>
            <w:shd w:val="clear" w:color="auto" w:fill="auto"/>
            <w:noWrap/>
            <w:vAlign w:val="center"/>
          </w:tcPr>
          <w:p w14:paraId="2368AC10" w14:textId="08752ED5" w:rsidR="00242EC2" w:rsidRPr="00464587" w:rsidRDefault="006F4179" w:rsidP="00242EC2">
            <w:pPr>
              <w:jc w:val="center"/>
              <w:rPr>
                <w:rFonts w:eastAsia="Times New Roman" w:cs="Arial"/>
                <w:color w:val="333D6B"/>
                <w:sz w:val="18"/>
                <w:szCs w:val="18"/>
                <w:lang w:eastAsia="es-CL"/>
              </w:rPr>
            </w:pPr>
            <w:r w:rsidRPr="00464587">
              <w:rPr>
                <w:rFonts w:eastAsia="Times New Roman" w:cs="Arial"/>
                <w:color w:val="333D6B"/>
                <w:sz w:val="18"/>
                <w:szCs w:val="18"/>
                <w:lang w:eastAsia="es-CL"/>
              </w:rPr>
              <w:t>0,13%</w:t>
            </w:r>
          </w:p>
        </w:tc>
      </w:tr>
      <w:tr w:rsidR="002E53B4" w:rsidRPr="00464587" w14:paraId="6970E174" w14:textId="77777777" w:rsidTr="00464587">
        <w:trPr>
          <w:trHeight w:val="283"/>
          <w:jc w:val="center"/>
        </w:trPr>
        <w:tc>
          <w:tcPr>
            <w:tcW w:w="4621" w:type="dxa"/>
            <w:tcBorders>
              <w:top w:val="nil"/>
              <w:left w:val="nil"/>
              <w:bottom w:val="nil"/>
              <w:right w:val="nil"/>
            </w:tcBorders>
            <w:shd w:val="clear" w:color="000000" w:fill="BB1823"/>
            <w:noWrap/>
            <w:vAlign w:val="center"/>
            <w:hideMark/>
          </w:tcPr>
          <w:p w14:paraId="16E4F901" w14:textId="3E8D3778" w:rsidR="00242EC2" w:rsidRPr="00464587" w:rsidRDefault="00242EC2" w:rsidP="004725EA">
            <w:pPr>
              <w:rPr>
                <w:rFonts w:eastAsia="Times New Roman" w:cs="Arial"/>
                <w:b/>
                <w:bCs/>
                <w:color w:val="FFFFFF"/>
                <w:sz w:val="18"/>
                <w:szCs w:val="18"/>
                <w:lang w:eastAsia="es-CL"/>
              </w:rPr>
            </w:pPr>
            <w:r w:rsidRPr="00464587">
              <w:rPr>
                <w:rFonts w:eastAsia="Times New Roman" w:cs="Arial"/>
                <w:b/>
                <w:bCs/>
                <w:color w:val="FFFFFF"/>
                <w:sz w:val="18"/>
                <w:szCs w:val="18"/>
                <w:lang w:eastAsia="es-CL"/>
              </w:rPr>
              <w:t>Índice de eficiencia</w:t>
            </w:r>
          </w:p>
        </w:tc>
        <w:tc>
          <w:tcPr>
            <w:tcW w:w="2268" w:type="dxa"/>
            <w:tcBorders>
              <w:top w:val="nil"/>
              <w:left w:val="nil"/>
              <w:bottom w:val="dotted" w:sz="4" w:space="0" w:color="E6344B"/>
              <w:right w:val="nil"/>
            </w:tcBorders>
            <w:shd w:val="clear" w:color="auto" w:fill="auto"/>
            <w:noWrap/>
            <w:vAlign w:val="center"/>
          </w:tcPr>
          <w:p w14:paraId="693157FB" w14:textId="0DCBD506" w:rsidR="00242EC2" w:rsidRPr="00464587" w:rsidRDefault="000379AC" w:rsidP="000F66AD">
            <w:pPr>
              <w:jc w:val="center"/>
              <w:rPr>
                <w:rFonts w:eastAsia="Times New Roman" w:cs="Arial"/>
                <w:color w:val="333D6B"/>
                <w:sz w:val="18"/>
                <w:szCs w:val="18"/>
                <w:lang w:eastAsia="es-CL"/>
              </w:rPr>
            </w:pPr>
            <w:r w:rsidRPr="00464587">
              <w:rPr>
                <w:rFonts w:eastAsia="Times New Roman" w:cs="Arial"/>
                <w:color w:val="333D6B"/>
                <w:sz w:val="18"/>
                <w:szCs w:val="18"/>
                <w:lang w:eastAsia="es-CL"/>
              </w:rPr>
              <w:t xml:space="preserve">Inferior a </w:t>
            </w:r>
            <w:r w:rsidR="002F0BBA" w:rsidRPr="00464587">
              <w:rPr>
                <w:rFonts w:eastAsia="Times New Roman" w:cs="Arial"/>
                <w:color w:val="333D6B"/>
                <w:sz w:val="18"/>
                <w:szCs w:val="18"/>
                <w:lang w:eastAsia="es-CL"/>
              </w:rPr>
              <w:t>60,0%</w:t>
            </w:r>
          </w:p>
        </w:tc>
        <w:tc>
          <w:tcPr>
            <w:tcW w:w="1417" w:type="dxa"/>
            <w:tcBorders>
              <w:top w:val="nil"/>
              <w:left w:val="nil"/>
              <w:bottom w:val="dotted" w:sz="4" w:space="0" w:color="E6344B"/>
              <w:right w:val="nil"/>
            </w:tcBorders>
            <w:shd w:val="clear" w:color="auto" w:fill="auto"/>
            <w:noWrap/>
            <w:vAlign w:val="center"/>
          </w:tcPr>
          <w:p w14:paraId="25091B81" w14:textId="537FEE45" w:rsidR="00242EC2" w:rsidRPr="00464587" w:rsidRDefault="00C9412B" w:rsidP="00242EC2">
            <w:pPr>
              <w:jc w:val="center"/>
              <w:rPr>
                <w:rFonts w:eastAsia="Times New Roman" w:cs="Arial"/>
                <w:color w:val="333D6B"/>
                <w:sz w:val="18"/>
                <w:szCs w:val="18"/>
                <w:lang w:eastAsia="es-CL"/>
              </w:rPr>
            </w:pPr>
            <w:r w:rsidRPr="00464587">
              <w:rPr>
                <w:rFonts w:cs="Calibri"/>
                <w:color w:val="333D6B"/>
                <w:sz w:val="18"/>
                <w:szCs w:val="18"/>
              </w:rPr>
              <w:t>58,4</w:t>
            </w:r>
            <w:r w:rsidR="00851216" w:rsidRPr="00464587">
              <w:rPr>
                <w:rFonts w:cs="Calibri"/>
                <w:color w:val="333D6B"/>
                <w:sz w:val="18"/>
                <w:szCs w:val="18"/>
              </w:rPr>
              <w:t>4</w:t>
            </w:r>
            <w:r w:rsidRPr="00464587">
              <w:rPr>
                <w:rFonts w:cs="Calibri"/>
                <w:color w:val="333D6B"/>
                <w:sz w:val="18"/>
                <w:szCs w:val="18"/>
              </w:rPr>
              <w:t>%</w:t>
            </w:r>
          </w:p>
        </w:tc>
      </w:tr>
      <w:tr w:rsidR="000F66AD" w:rsidRPr="00464587" w14:paraId="036CCA16" w14:textId="77777777" w:rsidTr="00464587">
        <w:trPr>
          <w:trHeight w:val="283"/>
          <w:jc w:val="center"/>
        </w:trPr>
        <w:tc>
          <w:tcPr>
            <w:tcW w:w="4621" w:type="dxa"/>
            <w:tcBorders>
              <w:top w:val="nil"/>
              <w:left w:val="nil"/>
              <w:bottom w:val="nil"/>
              <w:right w:val="nil"/>
            </w:tcBorders>
            <w:shd w:val="clear" w:color="000000" w:fill="BB1823"/>
            <w:noWrap/>
            <w:vAlign w:val="center"/>
          </w:tcPr>
          <w:p w14:paraId="00B5C4E4" w14:textId="4A95CE69" w:rsidR="00242EC2" w:rsidRPr="00464587" w:rsidRDefault="00242EC2" w:rsidP="004725EA">
            <w:pPr>
              <w:rPr>
                <w:rFonts w:eastAsia="Times New Roman" w:cs="Arial"/>
                <w:b/>
                <w:bCs/>
                <w:color w:val="FFFFFF"/>
                <w:sz w:val="18"/>
                <w:szCs w:val="18"/>
                <w:lang w:eastAsia="es-CL"/>
              </w:rPr>
            </w:pPr>
            <w:r w:rsidRPr="00464587">
              <w:rPr>
                <w:rFonts w:eastAsia="Times New Roman" w:cs="Arial"/>
                <w:b/>
                <w:bCs/>
                <w:color w:val="FFFFFF"/>
                <w:sz w:val="18"/>
                <w:szCs w:val="18"/>
                <w:lang w:eastAsia="es-CL"/>
              </w:rPr>
              <w:t>Índice de mora total</w:t>
            </w:r>
          </w:p>
        </w:tc>
        <w:tc>
          <w:tcPr>
            <w:tcW w:w="2268" w:type="dxa"/>
            <w:tcBorders>
              <w:top w:val="nil"/>
              <w:left w:val="nil"/>
              <w:bottom w:val="dotted" w:sz="4" w:space="0" w:color="E6344B"/>
              <w:right w:val="nil"/>
            </w:tcBorders>
            <w:shd w:val="clear" w:color="auto" w:fill="auto"/>
            <w:noWrap/>
            <w:vAlign w:val="center"/>
          </w:tcPr>
          <w:p w14:paraId="584F14B3" w14:textId="64DAFCF0" w:rsidR="00242EC2" w:rsidRPr="00464587" w:rsidRDefault="00CC5CA4" w:rsidP="000F66AD">
            <w:pPr>
              <w:jc w:val="center"/>
              <w:rPr>
                <w:rFonts w:cs="Calibri"/>
                <w:color w:val="333D6B"/>
                <w:sz w:val="18"/>
                <w:szCs w:val="18"/>
              </w:rPr>
            </w:pPr>
            <w:r w:rsidRPr="00464587">
              <w:rPr>
                <w:rFonts w:cs="Calibri"/>
                <w:color w:val="333D6B"/>
                <w:sz w:val="18"/>
                <w:szCs w:val="18"/>
              </w:rPr>
              <w:t xml:space="preserve">Inferior a </w:t>
            </w:r>
            <w:r w:rsidR="00985426" w:rsidRPr="00464587">
              <w:rPr>
                <w:rFonts w:cs="Calibri"/>
                <w:color w:val="333D6B"/>
                <w:sz w:val="18"/>
                <w:szCs w:val="18"/>
              </w:rPr>
              <w:t>4,5%</w:t>
            </w:r>
          </w:p>
        </w:tc>
        <w:tc>
          <w:tcPr>
            <w:tcW w:w="1417" w:type="dxa"/>
            <w:tcBorders>
              <w:top w:val="nil"/>
              <w:left w:val="nil"/>
              <w:bottom w:val="dotted" w:sz="4" w:space="0" w:color="E6344B"/>
              <w:right w:val="nil"/>
            </w:tcBorders>
            <w:shd w:val="clear" w:color="auto" w:fill="auto"/>
            <w:noWrap/>
            <w:vAlign w:val="center"/>
          </w:tcPr>
          <w:p w14:paraId="6CDA07DE" w14:textId="630DAD76" w:rsidR="00242EC2" w:rsidRPr="00464587" w:rsidRDefault="008D2621" w:rsidP="00242EC2">
            <w:pPr>
              <w:jc w:val="center"/>
              <w:rPr>
                <w:rFonts w:cs="Calibri"/>
                <w:color w:val="333D6B"/>
                <w:sz w:val="18"/>
                <w:szCs w:val="18"/>
              </w:rPr>
            </w:pPr>
            <w:r w:rsidRPr="00464587">
              <w:rPr>
                <w:rFonts w:cs="Calibri"/>
                <w:color w:val="333D6B"/>
                <w:sz w:val="18"/>
                <w:szCs w:val="18"/>
              </w:rPr>
              <w:t>1,55%</w:t>
            </w:r>
          </w:p>
        </w:tc>
      </w:tr>
      <w:tr w:rsidR="002E53B4" w:rsidRPr="00464587" w14:paraId="5949B09D" w14:textId="77777777" w:rsidTr="00464587">
        <w:trPr>
          <w:trHeight w:val="283"/>
          <w:jc w:val="center"/>
        </w:trPr>
        <w:tc>
          <w:tcPr>
            <w:tcW w:w="4621" w:type="dxa"/>
            <w:tcBorders>
              <w:top w:val="nil"/>
              <w:left w:val="nil"/>
              <w:bottom w:val="nil"/>
              <w:right w:val="nil"/>
            </w:tcBorders>
            <w:shd w:val="clear" w:color="000000" w:fill="BB1823"/>
            <w:noWrap/>
            <w:vAlign w:val="center"/>
            <w:hideMark/>
          </w:tcPr>
          <w:p w14:paraId="2A8604D2" w14:textId="0CBAFBFB" w:rsidR="00242EC2" w:rsidRPr="00464587" w:rsidRDefault="00242EC2" w:rsidP="004725EA">
            <w:pPr>
              <w:rPr>
                <w:rFonts w:eastAsia="Times New Roman" w:cs="Arial"/>
                <w:b/>
                <w:bCs/>
                <w:color w:val="FFFFFF"/>
                <w:sz w:val="18"/>
                <w:szCs w:val="18"/>
                <w:lang w:eastAsia="es-CL"/>
              </w:rPr>
            </w:pPr>
            <w:r w:rsidRPr="00464587">
              <w:rPr>
                <w:rFonts w:eastAsia="Times New Roman" w:cs="Arial"/>
                <w:b/>
                <w:bCs/>
                <w:color w:val="FFFFFF"/>
                <w:sz w:val="18"/>
                <w:szCs w:val="18"/>
                <w:lang w:eastAsia="es-CL"/>
              </w:rPr>
              <w:t>Índice de mora temprana</w:t>
            </w:r>
          </w:p>
        </w:tc>
        <w:tc>
          <w:tcPr>
            <w:tcW w:w="2268" w:type="dxa"/>
            <w:tcBorders>
              <w:top w:val="nil"/>
              <w:left w:val="nil"/>
              <w:bottom w:val="dotted" w:sz="4" w:space="0" w:color="E6344B"/>
              <w:right w:val="nil"/>
            </w:tcBorders>
            <w:shd w:val="clear" w:color="auto" w:fill="auto"/>
            <w:noWrap/>
            <w:vAlign w:val="center"/>
          </w:tcPr>
          <w:p w14:paraId="7273B26B" w14:textId="5506014B" w:rsidR="00242EC2" w:rsidRPr="00464587" w:rsidRDefault="00F36B36" w:rsidP="000F66AD">
            <w:pPr>
              <w:jc w:val="center"/>
              <w:rPr>
                <w:rFonts w:eastAsia="Times New Roman" w:cs="Arial"/>
                <w:color w:val="333D6B"/>
                <w:sz w:val="18"/>
                <w:szCs w:val="18"/>
                <w:lang w:eastAsia="es-CL"/>
              </w:rPr>
            </w:pPr>
            <w:r w:rsidRPr="00464587">
              <w:rPr>
                <w:rFonts w:eastAsia="Times New Roman" w:cs="Arial"/>
                <w:color w:val="333D6B"/>
                <w:sz w:val="18"/>
                <w:szCs w:val="18"/>
                <w:lang w:eastAsia="es-CL"/>
              </w:rPr>
              <w:t>Inferior a</w:t>
            </w:r>
            <w:r w:rsidR="0095568F" w:rsidRPr="00464587">
              <w:rPr>
                <w:rFonts w:eastAsia="Times New Roman" w:cs="Arial"/>
                <w:color w:val="333D6B"/>
                <w:sz w:val="18"/>
                <w:szCs w:val="18"/>
                <w:lang w:eastAsia="es-CL"/>
              </w:rPr>
              <w:t xml:space="preserve"> 7,0%</w:t>
            </w:r>
          </w:p>
        </w:tc>
        <w:tc>
          <w:tcPr>
            <w:tcW w:w="1417" w:type="dxa"/>
            <w:tcBorders>
              <w:top w:val="nil"/>
              <w:left w:val="nil"/>
              <w:bottom w:val="dotted" w:sz="4" w:space="0" w:color="E6344B"/>
              <w:right w:val="nil"/>
            </w:tcBorders>
            <w:shd w:val="clear" w:color="auto" w:fill="auto"/>
            <w:noWrap/>
            <w:vAlign w:val="center"/>
          </w:tcPr>
          <w:p w14:paraId="5B90B3AC" w14:textId="4A770822" w:rsidR="00242EC2" w:rsidRPr="00464587" w:rsidRDefault="00851216" w:rsidP="00242EC2">
            <w:pPr>
              <w:jc w:val="center"/>
              <w:rPr>
                <w:rFonts w:eastAsia="Times New Roman" w:cs="Arial"/>
                <w:color w:val="333D6B"/>
                <w:sz w:val="18"/>
                <w:szCs w:val="18"/>
                <w:lang w:eastAsia="es-CL"/>
              </w:rPr>
            </w:pPr>
            <w:r w:rsidRPr="00464587">
              <w:rPr>
                <w:rFonts w:cs="Calibri"/>
                <w:color w:val="333D6B"/>
                <w:sz w:val="18"/>
                <w:szCs w:val="18"/>
              </w:rPr>
              <w:t>4,34</w:t>
            </w:r>
            <w:r w:rsidR="00242EC2" w:rsidRPr="00464587">
              <w:rPr>
                <w:rFonts w:cs="Calibri"/>
                <w:color w:val="333D6B"/>
                <w:sz w:val="18"/>
                <w:szCs w:val="18"/>
              </w:rPr>
              <w:t>%</w:t>
            </w:r>
          </w:p>
        </w:tc>
      </w:tr>
      <w:tr w:rsidR="002E53B4" w:rsidRPr="00464587" w14:paraId="39938016" w14:textId="77777777" w:rsidTr="00464587">
        <w:trPr>
          <w:trHeight w:val="283"/>
          <w:jc w:val="center"/>
        </w:trPr>
        <w:tc>
          <w:tcPr>
            <w:tcW w:w="4621" w:type="dxa"/>
            <w:tcBorders>
              <w:top w:val="nil"/>
              <w:left w:val="nil"/>
              <w:bottom w:val="nil"/>
              <w:right w:val="nil"/>
            </w:tcBorders>
            <w:shd w:val="clear" w:color="000000" w:fill="BB1823"/>
            <w:noWrap/>
            <w:vAlign w:val="center"/>
            <w:hideMark/>
          </w:tcPr>
          <w:p w14:paraId="7B095CC9" w14:textId="45EF2B19" w:rsidR="00242EC2" w:rsidRPr="00464587" w:rsidRDefault="00242EC2" w:rsidP="004725EA">
            <w:pPr>
              <w:rPr>
                <w:rFonts w:eastAsia="Times New Roman" w:cs="Arial"/>
                <w:b/>
                <w:bCs/>
                <w:color w:val="FFFFFF"/>
                <w:sz w:val="18"/>
                <w:szCs w:val="18"/>
                <w:lang w:eastAsia="es-CL"/>
              </w:rPr>
            </w:pPr>
            <w:r w:rsidRPr="00464587">
              <w:rPr>
                <w:rFonts w:eastAsia="Times New Roman" w:cs="Arial"/>
                <w:b/>
                <w:bCs/>
                <w:color w:val="FFFFFF"/>
                <w:sz w:val="18"/>
                <w:szCs w:val="18"/>
                <w:lang w:eastAsia="es-CL"/>
              </w:rPr>
              <w:t>Índice de recaudación</w:t>
            </w:r>
          </w:p>
        </w:tc>
        <w:tc>
          <w:tcPr>
            <w:tcW w:w="2268" w:type="dxa"/>
            <w:tcBorders>
              <w:top w:val="nil"/>
              <w:left w:val="nil"/>
              <w:bottom w:val="dotted" w:sz="4" w:space="0" w:color="E6344B"/>
              <w:right w:val="nil"/>
            </w:tcBorders>
            <w:shd w:val="clear" w:color="auto" w:fill="auto"/>
            <w:noWrap/>
            <w:vAlign w:val="center"/>
          </w:tcPr>
          <w:p w14:paraId="31397E7C" w14:textId="3FA83591" w:rsidR="00242EC2" w:rsidRPr="00464587" w:rsidRDefault="00E11579" w:rsidP="000F66AD">
            <w:pPr>
              <w:jc w:val="center"/>
              <w:rPr>
                <w:rFonts w:eastAsia="Times New Roman" w:cs="Arial"/>
                <w:color w:val="333D6B"/>
                <w:sz w:val="18"/>
                <w:szCs w:val="18"/>
                <w:lang w:eastAsia="es-CL"/>
              </w:rPr>
            </w:pPr>
            <w:r w:rsidRPr="00464587">
              <w:rPr>
                <w:rFonts w:eastAsia="Times New Roman" w:cs="Arial"/>
                <w:color w:val="333D6B"/>
                <w:sz w:val="18"/>
                <w:szCs w:val="18"/>
                <w:lang w:eastAsia="es-CL"/>
              </w:rPr>
              <w:t>Superior a 4,8%</w:t>
            </w:r>
          </w:p>
        </w:tc>
        <w:tc>
          <w:tcPr>
            <w:tcW w:w="1417" w:type="dxa"/>
            <w:tcBorders>
              <w:top w:val="nil"/>
              <w:left w:val="nil"/>
              <w:bottom w:val="dotted" w:sz="4" w:space="0" w:color="E6344B"/>
              <w:right w:val="nil"/>
            </w:tcBorders>
            <w:shd w:val="clear" w:color="auto" w:fill="auto"/>
            <w:noWrap/>
            <w:vAlign w:val="center"/>
          </w:tcPr>
          <w:p w14:paraId="05B63171" w14:textId="7A629DDC" w:rsidR="00242EC2" w:rsidRPr="00464587" w:rsidRDefault="00E21307" w:rsidP="00242EC2">
            <w:pPr>
              <w:jc w:val="center"/>
              <w:rPr>
                <w:rFonts w:eastAsia="Times New Roman" w:cs="Arial"/>
                <w:color w:val="333D6B"/>
                <w:sz w:val="18"/>
                <w:szCs w:val="18"/>
                <w:lang w:eastAsia="es-CL"/>
              </w:rPr>
            </w:pPr>
            <w:r w:rsidRPr="00464587">
              <w:rPr>
                <w:rFonts w:cs="Calibri"/>
                <w:color w:val="333D6B"/>
                <w:sz w:val="18"/>
                <w:szCs w:val="18"/>
              </w:rPr>
              <w:t>5,09</w:t>
            </w:r>
            <w:r w:rsidR="00242EC2" w:rsidRPr="00464587">
              <w:rPr>
                <w:rFonts w:cs="Calibri"/>
                <w:color w:val="333D6B"/>
                <w:sz w:val="18"/>
                <w:szCs w:val="18"/>
              </w:rPr>
              <w:t>%</w:t>
            </w:r>
          </w:p>
        </w:tc>
      </w:tr>
    </w:tbl>
    <w:p w14:paraId="4B2D89E3" w14:textId="77777777" w:rsidR="00155EF1" w:rsidRDefault="00155EF1" w:rsidP="007303DA">
      <w:pPr>
        <w:spacing w:after="120"/>
        <w:jc w:val="both"/>
      </w:pPr>
    </w:p>
    <w:p w14:paraId="0C591A1A" w14:textId="514B00CE" w:rsidR="000750CF" w:rsidRDefault="000750CF" w:rsidP="00196ED4"/>
    <w:p w14:paraId="5FF74CC5" w14:textId="2D491389" w:rsidR="000750CF" w:rsidRDefault="000750CF" w:rsidP="000750CF">
      <w:pPr>
        <w:rPr>
          <w:highlight w:val="yellow"/>
        </w:rPr>
      </w:pPr>
    </w:p>
    <w:p w14:paraId="677F2CCF" w14:textId="38ECF6EC" w:rsidR="000750CF" w:rsidRDefault="000750CF" w:rsidP="000750CF">
      <w:pPr>
        <w:rPr>
          <w:highlight w:val="yellow"/>
        </w:rPr>
      </w:pPr>
    </w:p>
    <w:p w14:paraId="75C9811D" w14:textId="017D61E8" w:rsidR="00453E77" w:rsidRDefault="00453E77" w:rsidP="000750CF">
      <w:pPr>
        <w:rPr>
          <w:highlight w:val="yellow"/>
        </w:rPr>
      </w:pPr>
    </w:p>
    <w:p w14:paraId="0DD269FF" w14:textId="5C39182D" w:rsidR="00AE7013" w:rsidRDefault="00AE7013" w:rsidP="000750CF">
      <w:pPr>
        <w:rPr>
          <w:highlight w:val="yellow"/>
        </w:rPr>
      </w:pPr>
    </w:p>
    <w:p w14:paraId="3D77505C" w14:textId="77777777" w:rsidR="00C82F4B" w:rsidRDefault="00C82F4B" w:rsidP="000750CF">
      <w:pPr>
        <w:rPr>
          <w:highlight w:val="yellow"/>
        </w:rPr>
      </w:pPr>
    </w:p>
    <w:p w14:paraId="15616D90" w14:textId="55B4E06A" w:rsidR="00AE7013" w:rsidRDefault="00AE7013" w:rsidP="000750CF">
      <w:pPr>
        <w:rPr>
          <w:highlight w:val="yellow"/>
        </w:rPr>
      </w:pPr>
    </w:p>
    <w:p w14:paraId="0F8E5942" w14:textId="77777777" w:rsidR="00AE7013" w:rsidRDefault="00AE7013" w:rsidP="000750CF">
      <w:pPr>
        <w:rPr>
          <w:highlight w:val="yellow"/>
        </w:rPr>
      </w:pPr>
    </w:p>
    <w:p w14:paraId="5195CF9A" w14:textId="77777777" w:rsidR="0014697D" w:rsidRDefault="0014697D" w:rsidP="000750CF">
      <w:pPr>
        <w:rPr>
          <w:highlight w:val="yellow"/>
        </w:rPr>
      </w:pPr>
    </w:p>
    <w:p w14:paraId="729C4590" w14:textId="0D19DAB5" w:rsidR="00F976A9" w:rsidRPr="0014697D" w:rsidRDefault="00F976A9" w:rsidP="0089028D">
      <w:pPr>
        <w:pStyle w:val="Ttulo"/>
        <w:rPr>
          <w:rFonts w:ascii="Myriad Pro" w:hAnsi="Myriad Pro"/>
          <w:i/>
          <w:iCs/>
          <w:spacing w:val="0"/>
          <w:kern w:val="0"/>
          <w:sz w:val="44"/>
          <w:szCs w:val="32"/>
          <w:lang w:val="es-ES"/>
        </w:rPr>
      </w:pPr>
      <w:proofErr w:type="gramStart"/>
      <w:r w:rsidRPr="0014697D">
        <w:rPr>
          <w:rFonts w:ascii="Myriad Pro" w:hAnsi="Myriad Pro"/>
          <w:i/>
          <w:iCs/>
          <w:spacing w:val="0"/>
          <w:kern w:val="0"/>
          <w:sz w:val="44"/>
          <w:szCs w:val="32"/>
          <w:lang w:val="es-ES"/>
        </w:rPr>
        <w:lastRenderedPageBreak/>
        <w:t xml:space="preserve">Ratios </w:t>
      </w:r>
      <w:r w:rsidRPr="00BA53CB">
        <w:rPr>
          <w:rFonts w:ascii="Myriad Pro" w:hAnsi="Myriad Pro"/>
          <w:spacing w:val="0"/>
          <w:kern w:val="0"/>
          <w:sz w:val="44"/>
          <w:szCs w:val="32"/>
          <w:lang w:val="es-ES"/>
        </w:rPr>
        <w:t>financieros</w:t>
      </w:r>
      <w:proofErr w:type="gramEnd"/>
    </w:p>
    <w:tbl>
      <w:tblPr>
        <w:tblW w:w="9806" w:type="dxa"/>
        <w:jc w:val="center"/>
        <w:tblCellMar>
          <w:left w:w="70" w:type="dxa"/>
          <w:right w:w="70" w:type="dxa"/>
        </w:tblCellMar>
        <w:tblLook w:val="04A0" w:firstRow="1" w:lastRow="0" w:firstColumn="1" w:lastColumn="0" w:noHBand="0" w:noVBand="1"/>
      </w:tblPr>
      <w:tblGrid>
        <w:gridCol w:w="3686"/>
        <w:gridCol w:w="1020"/>
        <w:gridCol w:w="1020"/>
        <w:gridCol w:w="1020"/>
        <w:gridCol w:w="1020"/>
        <w:gridCol w:w="1020"/>
        <w:gridCol w:w="1020"/>
      </w:tblGrid>
      <w:tr w:rsidR="006F1334" w:rsidRPr="00464587" w14:paraId="48967D20" w14:textId="77777777" w:rsidTr="00464587">
        <w:trPr>
          <w:trHeight w:val="283"/>
          <w:jc w:val="center"/>
        </w:trPr>
        <w:tc>
          <w:tcPr>
            <w:tcW w:w="9806" w:type="dxa"/>
            <w:gridSpan w:val="7"/>
            <w:tcBorders>
              <w:top w:val="nil"/>
              <w:left w:val="nil"/>
              <w:bottom w:val="nil"/>
              <w:right w:val="nil"/>
            </w:tcBorders>
            <w:shd w:val="clear" w:color="000000" w:fill="BB1823"/>
            <w:vAlign w:val="center"/>
          </w:tcPr>
          <w:p w14:paraId="39172941" w14:textId="25370A76" w:rsidR="006F1334" w:rsidRPr="00464587" w:rsidRDefault="006F1334" w:rsidP="00D83BC6">
            <w:pPr>
              <w:jc w:val="center"/>
              <w:rPr>
                <w:rFonts w:eastAsia="Times New Roman" w:cs="Arial"/>
                <w:b/>
                <w:bCs/>
                <w:color w:val="FFFFFF"/>
                <w:sz w:val="18"/>
                <w:szCs w:val="18"/>
                <w:lang w:eastAsia="es-CL"/>
              </w:rPr>
            </w:pPr>
            <w:r w:rsidRPr="00464587">
              <w:rPr>
                <w:rFonts w:eastAsia="Times New Roman" w:cs="Arial"/>
                <w:b/>
                <w:bCs/>
                <w:i/>
                <w:iCs/>
                <w:color w:val="FFFFFF"/>
                <w:sz w:val="18"/>
                <w:szCs w:val="18"/>
                <w:lang w:eastAsia="es-CL"/>
              </w:rPr>
              <w:t xml:space="preserve">Ratios </w:t>
            </w:r>
            <w:r w:rsidRPr="00464587">
              <w:rPr>
                <w:rFonts w:eastAsia="Times New Roman" w:cs="Arial"/>
                <w:b/>
                <w:bCs/>
                <w:color w:val="FFFFFF"/>
                <w:sz w:val="18"/>
                <w:szCs w:val="18"/>
                <w:lang w:eastAsia="es-CL"/>
              </w:rPr>
              <w:t>Financieros</w:t>
            </w:r>
          </w:p>
        </w:tc>
      </w:tr>
      <w:tr w:rsidR="008D231F" w:rsidRPr="00464587" w14:paraId="7FF36BD0" w14:textId="77777777" w:rsidTr="00464587">
        <w:trPr>
          <w:trHeight w:val="283"/>
          <w:jc w:val="center"/>
        </w:trPr>
        <w:tc>
          <w:tcPr>
            <w:tcW w:w="3686" w:type="dxa"/>
            <w:tcBorders>
              <w:top w:val="nil"/>
              <w:left w:val="nil"/>
              <w:bottom w:val="nil"/>
              <w:right w:val="nil"/>
            </w:tcBorders>
            <w:shd w:val="clear" w:color="000000" w:fill="BB1823"/>
            <w:vAlign w:val="center"/>
            <w:hideMark/>
          </w:tcPr>
          <w:p w14:paraId="0615B918" w14:textId="71683EBC" w:rsidR="008609A4" w:rsidRPr="00464587" w:rsidRDefault="008609A4" w:rsidP="008609A4">
            <w:pPr>
              <w:jc w:val="center"/>
              <w:rPr>
                <w:rFonts w:eastAsia="Times New Roman" w:cs="Arial"/>
                <w:b/>
                <w:bCs/>
                <w:color w:val="FFFFFF"/>
                <w:sz w:val="18"/>
                <w:szCs w:val="18"/>
                <w:lang w:eastAsia="es-CL"/>
              </w:rPr>
            </w:pPr>
            <w:r w:rsidRPr="00464587">
              <w:rPr>
                <w:rFonts w:eastAsia="Times New Roman" w:cs="Arial"/>
                <w:b/>
                <w:bCs/>
                <w:color w:val="FFFFFF"/>
                <w:sz w:val="18"/>
                <w:szCs w:val="18"/>
                <w:lang w:eastAsia="es-CL"/>
              </w:rPr>
              <w:t>Ratios de liquidez</w:t>
            </w:r>
          </w:p>
        </w:tc>
        <w:tc>
          <w:tcPr>
            <w:tcW w:w="1020" w:type="dxa"/>
            <w:tcBorders>
              <w:top w:val="nil"/>
              <w:left w:val="nil"/>
              <w:bottom w:val="nil"/>
              <w:right w:val="nil"/>
            </w:tcBorders>
            <w:shd w:val="clear" w:color="000000" w:fill="BB1823"/>
            <w:vAlign w:val="center"/>
            <w:hideMark/>
          </w:tcPr>
          <w:p w14:paraId="0A6A937B" w14:textId="7A4AEE1F" w:rsidR="009F144B" w:rsidRPr="00464587" w:rsidRDefault="007311AE" w:rsidP="00D83BC6">
            <w:pPr>
              <w:jc w:val="center"/>
              <w:rPr>
                <w:rFonts w:eastAsia="Times New Roman" w:cs="Arial"/>
                <w:b/>
                <w:bCs/>
                <w:color w:val="FFFFFF"/>
                <w:sz w:val="18"/>
                <w:szCs w:val="18"/>
                <w:lang w:eastAsia="es-CL"/>
              </w:rPr>
            </w:pPr>
            <w:r w:rsidRPr="00464587">
              <w:rPr>
                <w:rFonts w:eastAsia="Times New Roman" w:cs="Arial"/>
                <w:b/>
                <w:bCs/>
                <w:color w:val="FFFFFF"/>
                <w:sz w:val="18"/>
                <w:szCs w:val="18"/>
                <w:lang w:eastAsia="es-CL"/>
              </w:rPr>
              <w:t>20</w:t>
            </w:r>
            <w:r w:rsidR="009F144B" w:rsidRPr="00464587">
              <w:rPr>
                <w:rFonts w:eastAsia="Times New Roman" w:cs="Arial"/>
                <w:b/>
                <w:bCs/>
                <w:color w:val="FFFFFF"/>
                <w:sz w:val="18"/>
                <w:szCs w:val="18"/>
                <w:lang w:eastAsia="es-CL"/>
              </w:rPr>
              <w:t>17</w:t>
            </w:r>
          </w:p>
        </w:tc>
        <w:tc>
          <w:tcPr>
            <w:tcW w:w="1020" w:type="dxa"/>
            <w:tcBorders>
              <w:top w:val="nil"/>
              <w:left w:val="nil"/>
              <w:bottom w:val="nil"/>
              <w:right w:val="nil"/>
            </w:tcBorders>
            <w:shd w:val="clear" w:color="000000" w:fill="BB1823"/>
            <w:vAlign w:val="center"/>
            <w:hideMark/>
          </w:tcPr>
          <w:p w14:paraId="35A88D48" w14:textId="5D3C38C2" w:rsidR="009F144B" w:rsidRPr="00464587" w:rsidRDefault="007311AE" w:rsidP="00D83BC6">
            <w:pPr>
              <w:jc w:val="center"/>
              <w:rPr>
                <w:rFonts w:eastAsia="Times New Roman" w:cs="Arial"/>
                <w:b/>
                <w:bCs/>
                <w:color w:val="FFFFFF"/>
                <w:sz w:val="18"/>
                <w:szCs w:val="18"/>
                <w:lang w:eastAsia="es-CL"/>
              </w:rPr>
            </w:pPr>
            <w:r w:rsidRPr="00464587">
              <w:rPr>
                <w:rFonts w:eastAsia="Times New Roman" w:cs="Arial"/>
                <w:b/>
                <w:bCs/>
                <w:color w:val="FFFFFF"/>
                <w:sz w:val="18"/>
                <w:szCs w:val="18"/>
                <w:lang w:eastAsia="es-CL"/>
              </w:rPr>
              <w:t>20</w:t>
            </w:r>
            <w:r w:rsidR="009F144B" w:rsidRPr="00464587">
              <w:rPr>
                <w:rFonts w:eastAsia="Times New Roman" w:cs="Arial"/>
                <w:b/>
                <w:bCs/>
                <w:color w:val="FFFFFF"/>
                <w:sz w:val="18"/>
                <w:szCs w:val="18"/>
                <w:lang w:eastAsia="es-CL"/>
              </w:rPr>
              <w:t>18</w:t>
            </w:r>
          </w:p>
        </w:tc>
        <w:tc>
          <w:tcPr>
            <w:tcW w:w="1020" w:type="dxa"/>
            <w:tcBorders>
              <w:top w:val="nil"/>
              <w:left w:val="nil"/>
              <w:bottom w:val="nil"/>
              <w:right w:val="nil"/>
            </w:tcBorders>
            <w:shd w:val="clear" w:color="000000" w:fill="BB1823"/>
            <w:vAlign w:val="center"/>
            <w:hideMark/>
          </w:tcPr>
          <w:p w14:paraId="1E40D475" w14:textId="5104069A" w:rsidR="009F144B" w:rsidRPr="00464587" w:rsidRDefault="007311AE" w:rsidP="00D83BC6">
            <w:pPr>
              <w:jc w:val="center"/>
              <w:rPr>
                <w:rFonts w:eastAsia="Times New Roman" w:cs="Arial"/>
                <w:b/>
                <w:bCs/>
                <w:color w:val="FFFFFF"/>
                <w:sz w:val="18"/>
                <w:szCs w:val="18"/>
                <w:lang w:eastAsia="es-CL"/>
              </w:rPr>
            </w:pPr>
            <w:r w:rsidRPr="00464587">
              <w:rPr>
                <w:rFonts w:eastAsia="Times New Roman" w:cs="Arial"/>
                <w:b/>
                <w:bCs/>
                <w:color w:val="FFFFFF"/>
                <w:sz w:val="18"/>
                <w:szCs w:val="18"/>
                <w:lang w:eastAsia="es-CL"/>
              </w:rPr>
              <w:t>20</w:t>
            </w:r>
            <w:r w:rsidR="009F144B" w:rsidRPr="00464587">
              <w:rPr>
                <w:rFonts w:eastAsia="Times New Roman" w:cs="Arial"/>
                <w:b/>
                <w:bCs/>
                <w:color w:val="FFFFFF"/>
                <w:sz w:val="18"/>
                <w:szCs w:val="18"/>
                <w:lang w:eastAsia="es-CL"/>
              </w:rPr>
              <w:t>19</w:t>
            </w:r>
          </w:p>
        </w:tc>
        <w:tc>
          <w:tcPr>
            <w:tcW w:w="1020" w:type="dxa"/>
            <w:tcBorders>
              <w:top w:val="nil"/>
              <w:left w:val="nil"/>
              <w:bottom w:val="nil"/>
              <w:right w:val="nil"/>
            </w:tcBorders>
            <w:shd w:val="clear" w:color="000000" w:fill="BB1823"/>
            <w:vAlign w:val="center"/>
            <w:hideMark/>
          </w:tcPr>
          <w:p w14:paraId="3823430D" w14:textId="39ECD446" w:rsidR="009F144B" w:rsidRPr="00464587" w:rsidRDefault="007311AE" w:rsidP="00D83BC6">
            <w:pPr>
              <w:jc w:val="center"/>
              <w:rPr>
                <w:rFonts w:eastAsia="Times New Roman" w:cs="Arial"/>
                <w:b/>
                <w:bCs/>
                <w:color w:val="FFFFFF"/>
                <w:sz w:val="18"/>
                <w:szCs w:val="18"/>
                <w:lang w:eastAsia="es-CL"/>
              </w:rPr>
            </w:pPr>
            <w:r w:rsidRPr="00464587">
              <w:rPr>
                <w:rFonts w:eastAsia="Times New Roman" w:cs="Arial"/>
                <w:b/>
                <w:bCs/>
                <w:color w:val="FFFFFF"/>
                <w:sz w:val="18"/>
                <w:szCs w:val="18"/>
                <w:lang w:eastAsia="es-CL"/>
              </w:rPr>
              <w:t>20</w:t>
            </w:r>
            <w:r w:rsidR="009F144B" w:rsidRPr="00464587">
              <w:rPr>
                <w:rFonts w:eastAsia="Times New Roman" w:cs="Arial"/>
                <w:b/>
                <w:bCs/>
                <w:color w:val="FFFFFF"/>
                <w:sz w:val="18"/>
                <w:szCs w:val="18"/>
                <w:lang w:eastAsia="es-CL"/>
              </w:rPr>
              <w:t>20</w:t>
            </w:r>
          </w:p>
        </w:tc>
        <w:tc>
          <w:tcPr>
            <w:tcW w:w="1020" w:type="dxa"/>
            <w:tcBorders>
              <w:top w:val="nil"/>
              <w:left w:val="nil"/>
              <w:bottom w:val="nil"/>
              <w:right w:val="nil"/>
            </w:tcBorders>
            <w:shd w:val="clear" w:color="000000" w:fill="BB1823"/>
            <w:vAlign w:val="center"/>
            <w:hideMark/>
          </w:tcPr>
          <w:p w14:paraId="3BD02C8E" w14:textId="3279DDD4" w:rsidR="009F144B" w:rsidRPr="00464587" w:rsidRDefault="007311AE" w:rsidP="00D83BC6">
            <w:pPr>
              <w:jc w:val="center"/>
              <w:rPr>
                <w:rFonts w:eastAsia="Times New Roman" w:cs="Arial"/>
                <w:b/>
                <w:bCs/>
                <w:color w:val="FFFFFF"/>
                <w:sz w:val="18"/>
                <w:szCs w:val="18"/>
                <w:lang w:eastAsia="es-CL"/>
              </w:rPr>
            </w:pPr>
            <w:r w:rsidRPr="00464587">
              <w:rPr>
                <w:rFonts w:eastAsia="Times New Roman" w:cs="Arial"/>
                <w:b/>
                <w:bCs/>
                <w:color w:val="FFFFFF"/>
                <w:sz w:val="18"/>
                <w:szCs w:val="18"/>
                <w:lang w:eastAsia="es-CL"/>
              </w:rPr>
              <w:t>20</w:t>
            </w:r>
            <w:r w:rsidR="009F144B" w:rsidRPr="00464587">
              <w:rPr>
                <w:rFonts w:eastAsia="Times New Roman" w:cs="Arial"/>
                <w:b/>
                <w:bCs/>
                <w:color w:val="FFFFFF"/>
                <w:sz w:val="18"/>
                <w:szCs w:val="18"/>
                <w:lang w:eastAsia="es-CL"/>
              </w:rPr>
              <w:t>21</w:t>
            </w:r>
          </w:p>
        </w:tc>
        <w:tc>
          <w:tcPr>
            <w:tcW w:w="1020" w:type="dxa"/>
            <w:tcBorders>
              <w:top w:val="nil"/>
              <w:left w:val="nil"/>
              <w:bottom w:val="nil"/>
              <w:right w:val="nil"/>
            </w:tcBorders>
            <w:shd w:val="clear" w:color="000000" w:fill="BB1823"/>
            <w:vAlign w:val="center"/>
            <w:hideMark/>
          </w:tcPr>
          <w:p w14:paraId="3C4A0D77" w14:textId="10C02977" w:rsidR="009F144B" w:rsidRPr="00464587" w:rsidRDefault="007311AE" w:rsidP="00D83BC6">
            <w:pPr>
              <w:jc w:val="center"/>
              <w:rPr>
                <w:rFonts w:eastAsia="Times New Roman" w:cs="Arial"/>
                <w:b/>
                <w:bCs/>
                <w:color w:val="FFFFFF"/>
                <w:sz w:val="18"/>
                <w:szCs w:val="18"/>
                <w:highlight w:val="yellow"/>
                <w:lang w:eastAsia="es-CL"/>
              </w:rPr>
            </w:pPr>
            <w:r w:rsidRPr="00464587">
              <w:rPr>
                <w:rFonts w:eastAsia="Times New Roman" w:cs="Arial"/>
                <w:b/>
                <w:bCs/>
                <w:color w:val="FFFFFF"/>
                <w:sz w:val="18"/>
                <w:szCs w:val="18"/>
                <w:lang w:eastAsia="es-CL"/>
              </w:rPr>
              <w:t>mar</w:t>
            </w:r>
            <w:r w:rsidR="009F144B" w:rsidRPr="00464587">
              <w:rPr>
                <w:rFonts w:eastAsia="Times New Roman" w:cs="Arial"/>
                <w:b/>
                <w:bCs/>
                <w:color w:val="FFFFFF"/>
                <w:sz w:val="18"/>
                <w:szCs w:val="18"/>
                <w:lang w:eastAsia="es-CL"/>
              </w:rPr>
              <w:t>-22</w:t>
            </w:r>
          </w:p>
        </w:tc>
      </w:tr>
      <w:tr w:rsidR="000E040F" w:rsidRPr="00464587" w14:paraId="645549A2" w14:textId="77777777" w:rsidTr="00464587">
        <w:trPr>
          <w:trHeight w:val="283"/>
          <w:jc w:val="center"/>
        </w:trPr>
        <w:tc>
          <w:tcPr>
            <w:tcW w:w="3686" w:type="dxa"/>
            <w:tcBorders>
              <w:top w:val="nil"/>
              <w:left w:val="nil"/>
              <w:bottom w:val="nil"/>
              <w:right w:val="nil"/>
            </w:tcBorders>
            <w:shd w:val="clear" w:color="000000" w:fill="BB1823"/>
            <w:noWrap/>
            <w:vAlign w:val="center"/>
            <w:hideMark/>
          </w:tcPr>
          <w:p w14:paraId="387C05BF" w14:textId="6F54D246" w:rsidR="000E040F" w:rsidRPr="00464587" w:rsidRDefault="000E040F" w:rsidP="000E040F">
            <w:pPr>
              <w:rPr>
                <w:rFonts w:eastAsia="Times New Roman" w:cs="Arial"/>
                <w:b/>
                <w:bCs/>
                <w:color w:val="FFFFFF"/>
                <w:sz w:val="18"/>
                <w:szCs w:val="18"/>
                <w:lang w:eastAsia="es-CL"/>
              </w:rPr>
            </w:pPr>
            <w:r w:rsidRPr="00464587">
              <w:rPr>
                <w:rFonts w:eastAsia="Times New Roman" w:cs="Arial"/>
                <w:b/>
                <w:bCs/>
                <w:color w:val="FFFFFF"/>
                <w:sz w:val="18"/>
                <w:szCs w:val="18"/>
                <w:lang w:eastAsia="es-CL"/>
              </w:rPr>
              <w:t>Razón Circulante (Veces)</w:t>
            </w:r>
          </w:p>
        </w:tc>
        <w:tc>
          <w:tcPr>
            <w:tcW w:w="1020" w:type="dxa"/>
            <w:tcBorders>
              <w:top w:val="dotted" w:sz="4" w:space="0" w:color="E6344B"/>
              <w:left w:val="nil"/>
              <w:bottom w:val="dotted" w:sz="4" w:space="0" w:color="E6344B"/>
              <w:right w:val="nil"/>
            </w:tcBorders>
            <w:shd w:val="clear" w:color="auto" w:fill="auto"/>
            <w:noWrap/>
            <w:vAlign w:val="center"/>
          </w:tcPr>
          <w:p w14:paraId="08F53B8B" w14:textId="13C6C144" w:rsidR="000E040F" w:rsidRPr="00464587" w:rsidRDefault="000E040F" w:rsidP="00D948B6">
            <w:pPr>
              <w:jc w:val="center"/>
              <w:rPr>
                <w:rFonts w:eastAsia="Times New Roman" w:cs="Arial"/>
                <w:color w:val="333D6B"/>
                <w:sz w:val="18"/>
                <w:szCs w:val="18"/>
                <w:lang w:eastAsia="es-CL"/>
              </w:rPr>
            </w:pPr>
            <w:r w:rsidRPr="00464587">
              <w:rPr>
                <w:rFonts w:eastAsia="Times New Roman" w:cs="Arial"/>
                <w:color w:val="333D6B"/>
                <w:sz w:val="18"/>
                <w:szCs w:val="18"/>
                <w:lang w:eastAsia="es-CL"/>
              </w:rPr>
              <w:t>5,31</w:t>
            </w:r>
          </w:p>
        </w:tc>
        <w:tc>
          <w:tcPr>
            <w:tcW w:w="1020" w:type="dxa"/>
            <w:tcBorders>
              <w:top w:val="dotted" w:sz="4" w:space="0" w:color="E6344B"/>
              <w:left w:val="nil"/>
              <w:bottom w:val="dotted" w:sz="4" w:space="0" w:color="E6344B"/>
              <w:right w:val="nil"/>
            </w:tcBorders>
            <w:shd w:val="clear" w:color="auto" w:fill="auto"/>
            <w:noWrap/>
            <w:vAlign w:val="center"/>
          </w:tcPr>
          <w:p w14:paraId="42F9FE17" w14:textId="0A0F0AE7" w:rsidR="000E040F" w:rsidRPr="00464587" w:rsidRDefault="00343943" w:rsidP="00D948B6">
            <w:pPr>
              <w:jc w:val="center"/>
              <w:rPr>
                <w:rFonts w:eastAsia="Times New Roman" w:cs="Arial"/>
                <w:color w:val="333D6B"/>
                <w:sz w:val="18"/>
                <w:szCs w:val="18"/>
                <w:lang w:eastAsia="es-CL"/>
              </w:rPr>
            </w:pPr>
            <w:r w:rsidRPr="00464587">
              <w:rPr>
                <w:rFonts w:eastAsia="Times New Roman" w:cs="Arial"/>
                <w:color w:val="333D6B"/>
                <w:sz w:val="18"/>
                <w:szCs w:val="18"/>
                <w:lang w:eastAsia="es-CL"/>
              </w:rPr>
              <w:t>4,37</w:t>
            </w:r>
          </w:p>
        </w:tc>
        <w:tc>
          <w:tcPr>
            <w:tcW w:w="1020" w:type="dxa"/>
            <w:tcBorders>
              <w:top w:val="dotted" w:sz="4" w:space="0" w:color="E6344B"/>
              <w:left w:val="nil"/>
              <w:bottom w:val="dotted" w:sz="4" w:space="0" w:color="E6344B"/>
              <w:right w:val="nil"/>
            </w:tcBorders>
            <w:shd w:val="clear" w:color="auto" w:fill="auto"/>
            <w:noWrap/>
            <w:vAlign w:val="center"/>
          </w:tcPr>
          <w:p w14:paraId="0B9593D9" w14:textId="077F954F" w:rsidR="000E040F" w:rsidRPr="00464587" w:rsidRDefault="000F4D3B" w:rsidP="00D948B6">
            <w:pPr>
              <w:jc w:val="center"/>
              <w:rPr>
                <w:rFonts w:eastAsia="Times New Roman" w:cs="Arial"/>
                <w:color w:val="333D6B"/>
                <w:sz w:val="18"/>
                <w:szCs w:val="18"/>
                <w:lang w:eastAsia="es-CL"/>
              </w:rPr>
            </w:pPr>
            <w:r w:rsidRPr="00464587">
              <w:rPr>
                <w:rFonts w:eastAsia="Times New Roman" w:cs="Arial"/>
                <w:color w:val="333D6B"/>
                <w:sz w:val="18"/>
                <w:szCs w:val="18"/>
                <w:lang w:eastAsia="es-CL"/>
              </w:rPr>
              <w:t>4,84</w:t>
            </w:r>
          </w:p>
        </w:tc>
        <w:tc>
          <w:tcPr>
            <w:tcW w:w="1020" w:type="dxa"/>
            <w:tcBorders>
              <w:top w:val="dotted" w:sz="4" w:space="0" w:color="E6344B"/>
              <w:left w:val="nil"/>
              <w:bottom w:val="dotted" w:sz="4" w:space="0" w:color="E6344B"/>
              <w:right w:val="nil"/>
            </w:tcBorders>
            <w:shd w:val="clear" w:color="auto" w:fill="auto"/>
            <w:noWrap/>
            <w:vAlign w:val="center"/>
          </w:tcPr>
          <w:p w14:paraId="045596FF" w14:textId="644C1041" w:rsidR="000E040F" w:rsidRPr="00464587" w:rsidRDefault="00C17E8D" w:rsidP="00D948B6">
            <w:pPr>
              <w:jc w:val="center"/>
              <w:rPr>
                <w:rFonts w:eastAsia="Times New Roman" w:cs="Arial"/>
                <w:color w:val="333D6B"/>
                <w:sz w:val="18"/>
                <w:szCs w:val="18"/>
                <w:lang w:eastAsia="es-CL"/>
              </w:rPr>
            </w:pPr>
            <w:r w:rsidRPr="00464587">
              <w:rPr>
                <w:rFonts w:eastAsia="Times New Roman" w:cs="Arial"/>
                <w:color w:val="333D6B"/>
                <w:sz w:val="18"/>
                <w:szCs w:val="18"/>
                <w:lang w:eastAsia="es-CL"/>
              </w:rPr>
              <w:t>6,75</w:t>
            </w:r>
          </w:p>
        </w:tc>
        <w:tc>
          <w:tcPr>
            <w:tcW w:w="1020" w:type="dxa"/>
            <w:tcBorders>
              <w:top w:val="dotted" w:sz="4" w:space="0" w:color="E6344B"/>
              <w:left w:val="nil"/>
              <w:bottom w:val="dotted" w:sz="4" w:space="0" w:color="E6344B"/>
              <w:right w:val="nil"/>
            </w:tcBorders>
            <w:shd w:val="clear" w:color="auto" w:fill="auto"/>
            <w:noWrap/>
            <w:vAlign w:val="center"/>
          </w:tcPr>
          <w:p w14:paraId="628E59B9" w14:textId="4F8500FD" w:rsidR="000E040F" w:rsidRPr="00464587" w:rsidRDefault="00F115CE" w:rsidP="00D948B6">
            <w:pPr>
              <w:jc w:val="center"/>
              <w:rPr>
                <w:rFonts w:eastAsia="Times New Roman" w:cs="Arial"/>
                <w:color w:val="333D6B"/>
                <w:sz w:val="18"/>
                <w:szCs w:val="18"/>
                <w:lang w:eastAsia="es-CL"/>
              </w:rPr>
            </w:pPr>
            <w:r w:rsidRPr="00464587">
              <w:rPr>
                <w:rFonts w:eastAsia="Times New Roman" w:cs="Arial"/>
                <w:color w:val="333D6B"/>
                <w:sz w:val="18"/>
                <w:szCs w:val="18"/>
                <w:lang w:eastAsia="es-CL"/>
              </w:rPr>
              <w:t>6,76</w:t>
            </w:r>
          </w:p>
        </w:tc>
        <w:tc>
          <w:tcPr>
            <w:tcW w:w="1020" w:type="dxa"/>
            <w:tcBorders>
              <w:top w:val="dotted" w:sz="4" w:space="0" w:color="E6344B"/>
              <w:left w:val="nil"/>
              <w:bottom w:val="dotted" w:sz="4" w:space="0" w:color="E6344B"/>
              <w:right w:val="nil"/>
            </w:tcBorders>
            <w:shd w:val="clear" w:color="auto" w:fill="auto"/>
            <w:noWrap/>
            <w:vAlign w:val="center"/>
          </w:tcPr>
          <w:p w14:paraId="0A150B0B" w14:textId="0AFA5A32" w:rsidR="000E040F" w:rsidRPr="00464587" w:rsidRDefault="00D948B6" w:rsidP="00D948B6">
            <w:pPr>
              <w:jc w:val="center"/>
              <w:rPr>
                <w:rFonts w:eastAsia="Times New Roman" w:cs="Arial"/>
                <w:color w:val="333D6B"/>
                <w:sz w:val="18"/>
                <w:szCs w:val="18"/>
                <w:lang w:eastAsia="es-CL"/>
              </w:rPr>
            </w:pPr>
            <w:r w:rsidRPr="00464587">
              <w:rPr>
                <w:rFonts w:eastAsia="Times New Roman" w:cs="Arial"/>
                <w:color w:val="333D6B"/>
                <w:sz w:val="18"/>
                <w:szCs w:val="18"/>
                <w:lang w:eastAsia="es-CL"/>
              </w:rPr>
              <w:t>6,59</w:t>
            </w:r>
          </w:p>
        </w:tc>
      </w:tr>
      <w:tr w:rsidR="00241382" w:rsidRPr="00464587" w14:paraId="1B94C48E" w14:textId="77777777" w:rsidTr="00464587">
        <w:trPr>
          <w:trHeight w:val="283"/>
          <w:jc w:val="center"/>
        </w:trPr>
        <w:tc>
          <w:tcPr>
            <w:tcW w:w="3686" w:type="dxa"/>
            <w:tcBorders>
              <w:top w:val="nil"/>
              <w:left w:val="nil"/>
              <w:bottom w:val="nil"/>
              <w:right w:val="nil"/>
            </w:tcBorders>
            <w:shd w:val="clear" w:color="000000" w:fill="BB1823"/>
            <w:noWrap/>
            <w:vAlign w:val="center"/>
            <w:hideMark/>
          </w:tcPr>
          <w:p w14:paraId="36F6C53C" w14:textId="262080B3" w:rsidR="00241382" w:rsidRPr="00464587" w:rsidRDefault="00241382" w:rsidP="00241382">
            <w:pPr>
              <w:rPr>
                <w:rFonts w:eastAsia="Times New Roman" w:cs="Arial"/>
                <w:b/>
                <w:bCs/>
                <w:color w:val="FFFFFF"/>
                <w:sz w:val="18"/>
                <w:szCs w:val="18"/>
                <w:lang w:eastAsia="es-CL"/>
              </w:rPr>
            </w:pPr>
            <w:r w:rsidRPr="00464587">
              <w:rPr>
                <w:rFonts w:eastAsia="Times New Roman" w:cs="Arial"/>
                <w:b/>
                <w:bCs/>
                <w:color w:val="FFFFFF"/>
                <w:sz w:val="18"/>
                <w:szCs w:val="18"/>
                <w:lang w:eastAsia="es-CL"/>
              </w:rPr>
              <w:t xml:space="preserve">Razón </w:t>
            </w:r>
            <w:proofErr w:type="spellStart"/>
            <w:r w:rsidRPr="00464587">
              <w:rPr>
                <w:rFonts w:eastAsia="Times New Roman" w:cs="Arial"/>
                <w:b/>
                <w:bCs/>
                <w:color w:val="FFFFFF"/>
                <w:sz w:val="18"/>
                <w:szCs w:val="18"/>
                <w:lang w:eastAsia="es-CL"/>
              </w:rPr>
              <w:t>Circ</w:t>
            </w:r>
            <w:proofErr w:type="spellEnd"/>
            <w:r w:rsidRPr="00464587">
              <w:rPr>
                <w:rFonts w:eastAsia="Times New Roman" w:cs="Arial"/>
                <w:b/>
                <w:bCs/>
                <w:color w:val="FFFFFF"/>
                <w:sz w:val="18"/>
                <w:szCs w:val="18"/>
                <w:lang w:eastAsia="es-CL"/>
              </w:rPr>
              <w:t>. (s/</w:t>
            </w:r>
            <w:proofErr w:type="spellStart"/>
            <w:r w:rsidRPr="00464587">
              <w:rPr>
                <w:rFonts w:eastAsia="Times New Roman" w:cs="Arial"/>
                <w:b/>
                <w:bCs/>
                <w:color w:val="FFFFFF"/>
                <w:sz w:val="18"/>
                <w:szCs w:val="18"/>
                <w:lang w:eastAsia="es-CL"/>
              </w:rPr>
              <w:t>CxC</w:t>
            </w:r>
            <w:proofErr w:type="spellEnd"/>
            <w:r w:rsidRPr="00464587">
              <w:rPr>
                <w:rFonts w:eastAsia="Times New Roman" w:cs="Arial"/>
                <w:b/>
                <w:bCs/>
                <w:color w:val="FFFFFF"/>
                <w:sz w:val="18"/>
                <w:szCs w:val="18"/>
                <w:lang w:eastAsia="es-CL"/>
              </w:rPr>
              <w:t xml:space="preserve"> a </w:t>
            </w:r>
            <w:proofErr w:type="spellStart"/>
            <w:r w:rsidRPr="00464587">
              <w:rPr>
                <w:rFonts w:eastAsia="Times New Roman" w:cs="Arial"/>
                <w:b/>
                <w:bCs/>
                <w:color w:val="FFFFFF"/>
                <w:sz w:val="18"/>
                <w:szCs w:val="18"/>
                <w:lang w:eastAsia="es-CL"/>
              </w:rPr>
              <w:t>Emp</w:t>
            </w:r>
            <w:proofErr w:type="spellEnd"/>
            <w:r w:rsidRPr="00464587">
              <w:rPr>
                <w:rFonts w:eastAsia="Times New Roman" w:cs="Arial"/>
                <w:b/>
                <w:bCs/>
                <w:color w:val="FFFFFF"/>
                <w:sz w:val="18"/>
                <w:szCs w:val="18"/>
                <w:lang w:eastAsia="es-CL"/>
              </w:rPr>
              <w:t xml:space="preserve">. </w:t>
            </w:r>
            <w:proofErr w:type="spellStart"/>
            <w:r w:rsidRPr="00464587">
              <w:rPr>
                <w:rFonts w:eastAsia="Times New Roman" w:cs="Arial"/>
                <w:b/>
                <w:bCs/>
                <w:color w:val="FFFFFF"/>
                <w:sz w:val="18"/>
                <w:szCs w:val="18"/>
                <w:lang w:eastAsia="es-CL"/>
              </w:rPr>
              <w:t>Relac</w:t>
            </w:r>
            <w:proofErr w:type="spellEnd"/>
            <w:r w:rsidRPr="00464587">
              <w:rPr>
                <w:rFonts w:eastAsia="Times New Roman" w:cs="Arial"/>
                <w:b/>
                <w:bCs/>
                <w:color w:val="FFFFFF"/>
                <w:sz w:val="18"/>
                <w:szCs w:val="18"/>
                <w:lang w:eastAsia="es-CL"/>
              </w:rPr>
              <w:t>.) (veces)</w:t>
            </w:r>
          </w:p>
        </w:tc>
        <w:tc>
          <w:tcPr>
            <w:tcW w:w="1020" w:type="dxa"/>
            <w:tcBorders>
              <w:top w:val="nil"/>
              <w:left w:val="nil"/>
              <w:bottom w:val="dotted" w:sz="4" w:space="0" w:color="E6344B"/>
              <w:right w:val="nil"/>
            </w:tcBorders>
            <w:shd w:val="clear" w:color="auto" w:fill="auto"/>
            <w:noWrap/>
            <w:vAlign w:val="center"/>
          </w:tcPr>
          <w:p w14:paraId="33F97287" w14:textId="1F259FC0" w:rsidR="00241382" w:rsidRPr="00464587" w:rsidRDefault="00241382" w:rsidP="00241382">
            <w:pPr>
              <w:jc w:val="center"/>
              <w:rPr>
                <w:rFonts w:eastAsia="Times New Roman" w:cs="Arial"/>
                <w:color w:val="333D6B"/>
                <w:sz w:val="18"/>
                <w:szCs w:val="18"/>
                <w:lang w:eastAsia="es-CL"/>
              </w:rPr>
            </w:pPr>
            <w:r w:rsidRPr="00464587">
              <w:rPr>
                <w:rFonts w:eastAsia="Times New Roman" w:cs="Arial"/>
                <w:color w:val="333D6B"/>
                <w:sz w:val="18"/>
                <w:szCs w:val="18"/>
                <w:lang w:eastAsia="es-CL"/>
              </w:rPr>
              <w:t>5,31</w:t>
            </w:r>
          </w:p>
        </w:tc>
        <w:tc>
          <w:tcPr>
            <w:tcW w:w="1020" w:type="dxa"/>
            <w:tcBorders>
              <w:top w:val="nil"/>
              <w:left w:val="nil"/>
              <w:bottom w:val="dotted" w:sz="4" w:space="0" w:color="E6344B"/>
              <w:right w:val="nil"/>
            </w:tcBorders>
            <w:shd w:val="clear" w:color="auto" w:fill="auto"/>
            <w:noWrap/>
            <w:vAlign w:val="center"/>
          </w:tcPr>
          <w:p w14:paraId="03AB75D2" w14:textId="016E3B08" w:rsidR="00241382" w:rsidRPr="00464587" w:rsidRDefault="00241382" w:rsidP="00241382">
            <w:pPr>
              <w:jc w:val="center"/>
              <w:rPr>
                <w:rFonts w:eastAsia="Times New Roman" w:cs="Arial"/>
                <w:color w:val="333D6B"/>
                <w:sz w:val="18"/>
                <w:szCs w:val="18"/>
                <w:lang w:eastAsia="es-CL"/>
              </w:rPr>
            </w:pPr>
            <w:r w:rsidRPr="00464587">
              <w:rPr>
                <w:rFonts w:eastAsia="Times New Roman" w:cs="Arial"/>
                <w:color w:val="333D6B"/>
                <w:sz w:val="18"/>
                <w:szCs w:val="18"/>
                <w:lang w:eastAsia="es-CL"/>
              </w:rPr>
              <w:t>4,37</w:t>
            </w:r>
          </w:p>
        </w:tc>
        <w:tc>
          <w:tcPr>
            <w:tcW w:w="1020" w:type="dxa"/>
            <w:tcBorders>
              <w:top w:val="nil"/>
              <w:left w:val="nil"/>
              <w:bottom w:val="dotted" w:sz="4" w:space="0" w:color="E6344B"/>
              <w:right w:val="nil"/>
            </w:tcBorders>
            <w:shd w:val="clear" w:color="auto" w:fill="auto"/>
            <w:noWrap/>
            <w:vAlign w:val="center"/>
          </w:tcPr>
          <w:p w14:paraId="63D3A56C" w14:textId="7CDB50CF" w:rsidR="00241382" w:rsidRPr="00464587" w:rsidRDefault="00241382" w:rsidP="00241382">
            <w:pPr>
              <w:jc w:val="center"/>
              <w:rPr>
                <w:rFonts w:eastAsia="Times New Roman" w:cs="Arial"/>
                <w:color w:val="333D6B"/>
                <w:sz w:val="18"/>
                <w:szCs w:val="18"/>
                <w:lang w:eastAsia="es-CL"/>
              </w:rPr>
            </w:pPr>
            <w:r w:rsidRPr="00464587">
              <w:rPr>
                <w:rFonts w:eastAsia="Times New Roman" w:cs="Arial"/>
                <w:color w:val="333D6B"/>
                <w:sz w:val="18"/>
                <w:szCs w:val="18"/>
                <w:lang w:eastAsia="es-CL"/>
              </w:rPr>
              <w:t>4,84</w:t>
            </w:r>
          </w:p>
        </w:tc>
        <w:tc>
          <w:tcPr>
            <w:tcW w:w="1020" w:type="dxa"/>
            <w:tcBorders>
              <w:top w:val="nil"/>
              <w:left w:val="nil"/>
              <w:bottom w:val="dotted" w:sz="4" w:space="0" w:color="E6344B"/>
              <w:right w:val="nil"/>
            </w:tcBorders>
            <w:shd w:val="clear" w:color="auto" w:fill="auto"/>
            <w:noWrap/>
            <w:vAlign w:val="center"/>
          </w:tcPr>
          <w:p w14:paraId="497DF98C" w14:textId="04B80A2B" w:rsidR="00241382" w:rsidRPr="00464587" w:rsidRDefault="00241382" w:rsidP="00241382">
            <w:pPr>
              <w:jc w:val="center"/>
              <w:rPr>
                <w:rFonts w:eastAsia="Times New Roman" w:cs="Arial"/>
                <w:color w:val="333D6B"/>
                <w:sz w:val="18"/>
                <w:szCs w:val="18"/>
                <w:lang w:eastAsia="es-CL"/>
              </w:rPr>
            </w:pPr>
            <w:r w:rsidRPr="00464587">
              <w:rPr>
                <w:rFonts w:eastAsia="Times New Roman" w:cs="Arial"/>
                <w:color w:val="333D6B"/>
                <w:sz w:val="18"/>
                <w:szCs w:val="18"/>
                <w:lang w:eastAsia="es-CL"/>
              </w:rPr>
              <w:t>6,75</w:t>
            </w:r>
          </w:p>
        </w:tc>
        <w:tc>
          <w:tcPr>
            <w:tcW w:w="1020" w:type="dxa"/>
            <w:tcBorders>
              <w:top w:val="nil"/>
              <w:left w:val="nil"/>
              <w:bottom w:val="dotted" w:sz="4" w:space="0" w:color="E6344B"/>
              <w:right w:val="nil"/>
            </w:tcBorders>
            <w:shd w:val="clear" w:color="auto" w:fill="auto"/>
            <w:noWrap/>
            <w:vAlign w:val="center"/>
          </w:tcPr>
          <w:p w14:paraId="00DB5D7C" w14:textId="236AC11B" w:rsidR="00241382" w:rsidRPr="00464587" w:rsidRDefault="00241382" w:rsidP="00241382">
            <w:pPr>
              <w:jc w:val="center"/>
              <w:rPr>
                <w:rFonts w:cs="Calibri"/>
                <w:color w:val="333D6B"/>
                <w:sz w:val="18"/>
                <w:szCs w:val="18"/>
              </w:rPr>
            </w:pPr>
            <w:r w:rsidRPr="00464587">
              <w:rPr>
                <w:rFonts w:eastAsia="Times New Roman" w:cs="Arial"/>
                <w:color w:val="333D6B"/>
                <w:sz w:val="18"/>
                <w:szCs w:val="18"/>
                <w:lang w:eastAsia="es-CL"/>
              </w:rPr>
              <w:t>6,76</w:t>
            </w:r>
          </w:p>
        </w:tc>
        <w:tc>
          <w:tcPr>
            <w:tcW w:w="1020" w:type="dxa"/>
            <w:tcBorders>
              <w:top w:val="nil"/>
              <w:left w:val="nil"/>
              <w:bottom w:val="dotted" w:sz="4" w:space="0" w:color="E6344B"/>
              <w:right w:val="nil"/>
            </w:tcBorders>
            <w:shd w:val="clear" w:color="auto" w:fill="auto"/>
            <w:noWrap/>
            <w:vAlign w:val="center"/>
          </w:tcPr>
          <w:p w14:paraId="7A9E078E" w14:textId="517EE619" w:rsidR="00241382" w:rsidRPr="00464587" w:rsidRDefault="00241382" w:rsidP="00241382">
            <w:pPr>
              <w:jc w:val="center"/>
              <w:rPr>
                <w:rFonts w:cs="Calibri"/>
                <w:color w:val="333D6B"/>
                <w:sz w:val="18"/>
                <w:szCs w:val="18"/>
              </w:rPr>
            </w:pPr>
            <w:r w:rsidRPr="00464587">
              <w:rPr>
                <w:rFonts w:eastAsia="Times New Roman" w:cs="Arial"/>
                <w:color w:val="333D6B"/>
                <w:sz w:val="18"/>
                <w:szCs w:val="18"/>
                <w:lang w:eastAsia="es-CL"/>
              </w:rPr>
              <w:t>6,59</w:t>
            </w:r>
          </w:p>
        </w:tc>
      </w:tr>
      <w:tr w:rsidR="008D231F" w:rsidRPr="00464587" w14:paraId="7442EAF4" w14:textId="77777777" w:rsidTr="00464587">
        <w:trPr>
          <w:trHeight w:val="283"/>
          <w:jc w:val="center"/>
        </w:trPr>
        <w:tc>
          <w:tcPr>
            <w:tcW w:w="3686" w:type="dxa"/>
            <w:tcBorders>
              <w:top w:val="nil"/>
              <w:left w:val="nil"/>
              <w:bottom w:val="nil"/>
              <w:right w:val="nil"/>
            </w:tcBorders>
            <w:shd w:val="clear" w:color="000000" w:fill="BB1823"/>
            <w:noWrap/>
            <w:vAlign w:val="center"/>
            <w:hideMark/>
          </w:tcPr>
          <w:p w14:paraId="3545453E" w14:textId="4974BA35" w:rsidR="008609A4" w:rsidRPr="00464587" w:rsidRDefault="008609A4" w:rsidP="008609A4">
            <w:pPr>
              <w:rPr>
                <w:rFonts w:eastAsia="Times New Roman" w:cs="Arial"/>
                <w:b/>
                <w:bCs/>
                <w:color w:val="FFFFFF"/>
                <w:sz w:val="18"/>
                <w:szCs w:val="18"/>
                <w:lang w:eastAsia="es-CL"/>
              </w:rPr>
            </w:pPr>
            <w:r w:rsidRPr="00464587">
              <w:rPr>
                <w:rFonts w:eastAsia="Times New Roman" w:cs="Arial"/>
                <w:b/>
                <w:bCs/>
                <w:color w:val="FFFFFF"/>
                <w:sz w:val="18"/>
                <w:szCs w:val="18"/>
                <w:lang w:eastAsia="es-CL"/>
              </w:rPr>
              <w:t>Rotación de Cuentas por Cobrar (veces)</w:t>
            </w:r>
          </w:p>
        </w:tc>
        <w:tc>
          <w:tcPr>
            <w:tcW w:w="1020" w:type="dxa"/>
            <w:tcBorders>
              <w:top w:val="nil"/>
              <w:left w:val="nil"/>
              <w:bottom w:val="dotted" w:sz="4" w:space="0" w:color="E6344B"/>
              <w:right w:val="nil"/>
            </w:tcBorders>
            <w:shd w:val="clear" w:color="auto" w:fill="auto"/>
            <w:noWrap/>
            <w:vAlign w:val="center"/>
          </w:tcPr>
          <w:p w14:paraId="3D7E2434" w14:textId="2DED795B" w:rsidR="008609A4" w:rsidRPr="00464587" w:rsidRDefault="00942E66" w:rsidP="006D2F26">
            <w:pPr>
              <w:jc w:val="center"/>
              <w:rPr>
                <w:rFonts w:eastAsia="Times New Roman" w:cs="Arial"/>
                <w:color w:val="333D6B"/>
                <w:sz w:val="18"/>
                <w:szCs w:val="18"/>
                <w:lang w:eastAsia="es-CL"/>
              </w:rPr>
            </w:pPr>
            <w:r w:rsidRPr="00464587">
              <w:rPr>
                <w:rFonts w:eastAsia="Times New Roman" w:cs="Arial"/>
                <w:color w:val="333D6B"/>
                <w:sz w:val="18"/>
                <w:szCs w:val="18"/>
                <w:lang w:eastAsia="es-CL"/>
              </w:rPr>
              <w:t>0,79</w:t>
            </w:r>
          </w:p>
        </w:tc>
        <w:tc>
          <w:tcPr>
            <w:tcW w:w="1020" w:type="dxa"/>
            <w:tcBorders>
              <w:top w:val="nil"/>
              <w:left w:val="nil"/>
              <w:bottom w:val="dotted" w:sz="4" w:space="0" w:color="E6344B"/>
              <w:right w:val="nil"/>
            </w:tcBorders>
            <w:shd w:val="clear" w:color="auto" w:fill="auto"/>
            <w:noWrap/>
            <w:vAlign w:val="center"/>
          </w:tcPr>
          <w:p w14:paraId="2B3FC013" w14:textId="455B93EC" w:rsidR="008609A4" w:rsidRPr="00464587" w:rsidRDefault="00942E66" w:rsidP="006D2F26">
            <w:pPr>
              <w:jc w:val="center"/>
              <w:rPr>
                <w:rFonts w:eastAsia="Times New Roman" w:cs="Arial"/>
                <w:color w:val="333D6B"/>
                <w:sz w:val="18"/>
                <w:szCs w:val="18"/>
                <w:lang w:eastAsia="es-CL"/>
              </w:rPr>
            </w:pPr>
            <w:r w:rsidRPr="00464587">
              <w:rPr>
                <w:rFonts w:eastAsia="Times New Roman" w:cs="Arial"/>
                <w:color w:val="333D6B"/>
                <w:sz w:val="18"/>
                <w:szCs w:val="18"/>
                <w:lang w:eastAsia="es-CL"/>
              </w:rPr>
              <w:t>0,70</w:t>
            </w:r>
          </w:p>
        </w:tc>
        <w:tc>
          <w:tcPr>
            <w:tcW w:w="1020" w:type="dxa"/>
            <w:tcBorders>
              <w:top w:val="nil"/>
              <w:left w:val="nil"/>
              <w:bottom w:val="dotted" w:sz="4" w:space="0" w:color="E6344B"/>
              <w:right w:val="nil"/>
            </w:tcBorders>
            <w:shd w:val="clear" w:color="auto" w:fill="auto"/>
            <w:noWrap/>
            <w:vAlign w:val="center"/>
          </w:tcPr>
          <w:p w14:paraId="47B862EE" w14:textId="1D0E05FF" w:rsidR="008609A4" w:rsidRPr="00464587" w:rsidRDefault="00942E66" w:rsidP="006D2F26">
            <w:pPr>
              <w:jc w:val="center"/>
              <w:rPr>
                <w:rFonts w:eastAsia="Times New Roman" w:cs="Arial"/>
                <w:color w:val="333D6B"/>
                <w:sz w:val="18"/>
                <w:szCs w:val="18"/>
                <w:lang w:eastAsia="es-CL"/>
              </w:rPr>
            </w:pPr>
            <w:r w:rsidRPr="00464587">
              <w:rPr>
                <w:rFonts w:eastAsia="Times New Roman" w:cs="Arial"/>
                <w:color w:val="333D6B"/>
                <w:sz w:val="18"/>
                <w:szCs w:val="18"/>
                <w:lang w:eastAsia="es-CL"/>
              </w:rPr>
              <w:t>0,64</w:t>
            </w:r>
          </w:p>
        </w:tc>
        <w:tc>
          <w:tcPr>
            <w:tcW w:w="1020" w:type="dxa"/>
            <w:tcBorders>
              <w:top w:val="nil"/>
              <w:left w:val="nil"/>
              <w:bottom w:val="dotted" w:sz="4" w:space="0" w:color="E6344B"/>
              <w:right w:val="nil"/>
            </w:tcBorders>
            <w:shd w:val="clear" w:color="auto" w:fill="auto"/>
            <w:noWrap/>
            <w:vAlign w:val="center"/>
          </w:tcPr>
          <w:p w14:paraId="07B82FFD" w14:textId="61251973" w:rsidR="008609A4" w:rsidRPr="00464587" w:rsidRDefault="00942E66" w:rsidP="006D2F26">
            <w:pPr>
              <w:jc w:val="center"/>
              <w:rPr>
                <w:rFonts w:eastAsia="Times New Roman" w:cs="Arial"/>
                <w:color w:val="333D6B"/>
                <w:sz w:val="18"/>
                <w:szCs w:val="18"/>
                <w:lang w:eastAsia="es-CL"/>
              </w:rPr>
            </w:pPr>
            <w:r w:rsidRPr="00464587">
              <w:rPr>
                <w:rFonts w:eastAsia="Times New Roman" w:cs="Arial"/>
                <w:color w:val="333D6B"/>
                <w:sz w:val="18"/>
                <w:szCs w:val="18"/>
                <w:lang w:eastAsia="es-CL"/>
              </w:rPr>
              <w:t>0,58</w:t>
            </w:r>
          </w:p>
        </w:tc>
        <w:tc>
          <w:tcPr>
            <w:tcW w:w="1020" w:type="dxa"/>
            <w:tcBorders>
              <w:top w:val="nil"/>
              <w:left w:val="nil"/>
              <w:bottom w:val="dotted" w:sz="4" w:space="0" w:color="E6344B"/>
              <w:right w:val="nil"/>
            </w:tcBorders>
            <w:shd w:val="clear" w:color="auto" w:fill="auto"/>
            <w:noWrap/>
            <w:vAlign w:val="center"/>
          </w:tcPr>
          <w:p w14:paraId="4015A320" w14:textId="6B4E96C4" w:rsidR="008609A4" w:rsidRPr="00464587" w:rsidRDefault="00942E66" w:rsidP="006D2F26">
            <w:pPr>
              <w:jc w:val="center"/>
              <w:rPr>
                <w:rFonts w:eastAsia="Times New Roman" w:cs="Arial"/>
                <w:color w:val="333D6B"/>
                <w:sz w:val="18"/>
                <w:szCs w:val="18"/>
                <w:lang w:eastAsia="es-CL"/>
              </w:rPr>
            </w:pPr>
            <w:r w:rsidRPr="00464587">
              <w:rPr>
                <w:rFonts w:eastAsia="Times New Roman" w:cs="Arial"/>
                <w:color w:val="333D6B"/>
                <w:sz w:val="18"/>
                <w:szCs w:val="18"/>
                <w:lang w:eastAsia="es-CL"/>
              </w:rPr>
              <w:t>0,53</w:t>
            </w:r>
          </w:p>
        </w:tc>
        <w:tc>
          <w:tcPr>
            <w:tcW w:w="1020" w:type="dxa"/>
            <w:tcBorders>
              <w:top w:val="nil"/>
              <w:left w:val="nil"/>
              <w:bottom w:val="dotted" w:sz="4" w:space="0" w:color="E6344B"/>
              <w:right w:val="nil"/>
            </w:tcBorders>
            <w:shd w:val="clear" w:color="auto" w:fill="auto"/>
            <w:noWrap/>
            <w:vAlign w:val="center"/>
          </w:tcPr>
          <w:p w14:paraId="191FCE88" w14:textId="5A995FEE" w:rsidR="008609A4" w:rsidRPr="00464587" w:rsidRDefault="006D2F26" w:rsidP="006D2F26">
            <w:pPr>
              <w:jc w:val="center"/>
              <w:rPr>
                <w:rFonts w:eastAsia="Times New Roman" w:cs="Arial"/>
                <w:color w:val="333D6B"/>
                <w:sz w:val="18"/>
                <w:szCs w:val="18"/>
                <w:lang w:eastAsia="es-CL"/>
              </w:rPr>
            </w:pPr>
            <w:r w:rsidRPr="00464587">
              <w:rPr>
                <w:rFonts w:eastAsia="Times New Roman" w:cs="Arial"/>
                <w:color w:val="333D6B"/>
                <w:sz w:val="18"/>
                <w:szCs w:val="18"/>
                <w:lang w:eastAsia="es-CL"/>
              </w:rPr>
              <w:t>0,53</w:t>
            </w:r>
          </w:p>
        </w:tc>
      </w:tr>
      <w:tr w:rsidR="0064582C" w:rsidRPr="00464587" w14:paraId="1C55B262" w14:textId="77777777" w:rsidTr="00464587">
        <w:trPr>
          <w:trHeight w:val="283"/>
          <w:jc w:val="center"/>
        </w:trPr>
        <w:tc>
          <w:tcPr>
            <w:tcW w:w="3686" w:type="dxa"/>
            <w:tcBorders>
              <w:top w:val="nil"/>
              <w:left w:val="nil"/>
              <w:bottom w:val="nil"/>
              <w:right w:val="nil"/>
            </w:tcBorders>
            <w:shd w:val="clear" w:color="000000" w:fill="BB1823"/>
            <w:noWrap/>
            <w:vAlign w:val="center"/>
            <w:hideMark/>
          </w:tcPr>
          <w:p w14:paraId="463C91A5" w14:textId="2AD46F92" w:rsidR="0064582C" w:rsidRPr="00464587" w:rsidRDefault="0064582C" w:rsidP="0064582C">
            <w:pPr>
              <w:rPr>
                <w:rFonts w:eastAsia="Times New Roman" w:cs="Arial"/>
                <w:b/>
                <w:bCs/>
                <w:color w:val="FFFFFF"/>
                <w:sz w:val="18"/>
                <w:szCs w:val="18"/>
                <w:lang w:eastAsia="es-CL"/>
              </w:rPr>
            </w:pPr>
            <w:r w:rsidRPr="00464587">
              <w:rPr>
                <w:rFonts w:eastAsia="Times New Roman" w:cs="Arial"/>
                <w:b/>
                <w:bCs/>
                <w:color w:val="FFFFFF"/>
                <w:sz w:val="18"/>
                <w:szCs w:val="18"/>
                <w:lang w:eastAsia="es-CL"/>
              </w:rPr>
              <w:t>Promedio Días de Cuentas por Cobrar (días)</w:t>
            </w:r>
          </w:p>
        </w:tc>
        <w:tc>
          <w:tcPr>
            <w:tcW w:w="1020" w:type="dxa"/>
            <w:tcBorders>
              <w:top w:val="nil"/>
              <w:left w:val="nil"/>
              <w:bottom w:val="dotted" w:sz="4" w:space="0" w:color="E6344B"/>
              <w:right w:val="nil"/>
            </w:tcBorders>
            <w:shd w:val="clear" w:color="auto" w:fill="auto"/>
            <w:noWrap/>
            <w:vAlign w:val="center"/>
          </w:tcPr>
          <w:p w14:paraId="1CAC3C4A" w14:textId="4AB17F40" w:rsidR="0064582C" w:rsidRPr="00464587" w:rsidRDefault="0064582C" w:rsidP="0064582C">
            <w:pPr>
              <w:jc w:val="center"/>
              <w:rPr>
                <w:rFonts w:eastAsia="Times New Roman" w:cs="Arial"/>
                <w:color w:val="333D6B"/>
                <w:sz w:val="18"/>
                <w:szCs w:val="18"/>
                <w:lang w:eastAsia="es-CL"/>
              </w:rPr>
            </w:pPr>
            <w:r w:rsidRPr="00464587">
              <w:rPr>
                <w:rFonts w:eastAsia="Times New Roman" w:cs="Arial"/>
                <w:color w:val="333D6B"/>
                <w:sz w:val="18"/>
                <w:szCs w:val="18"/>
                <w:lang w:eastAsia="es-CL"/>
              </w:rPr>
              <w:t>460,44</w:t>
            </w:r>
          </w:p>
        </w:tc>
        <w:tc>
          <w:tcPr>
            <w:tcW w:w="1020" w:type="dxa"/>
            <w:tcBorders>
              <w:top w:val="nil"/>
              <w:left w:val="nil"/>
              <w:bottom w:val="dotted" w:sz="4" w:space="0" w:color="E6344B"/>
              <w:right w:val="nil"/>
            </w:tcBorders>
            <w:shd w:val="clear" w:color="auto" w:fill="auto"/>
            <w:noWrap/>
            <w:vAlign w:val="center"/>
          </w:tcPr>
          <w:p w14:paraId="16919217" w14:textId="166B9118" w:rsidR="0064582C" w:rsidRPr="00464587" w:rsidRDefault="0064582C" w:rsidP="0064582C">
            <w:pPr>
              <w:jc w:val="center"/>
              <w:rPr>
                <w:rFonts w:eastAsia="Times New Roman" w:cs="Arial"/>
                <w:color w:val="333D6B"/>
                <w:sz w:val="18"/>
                <w:szCs w:val="18"/>
                <w:lang w:eastAsia="es-CL"/>
              </w:rPr>
            </w:pPr>
            <w:r w:rsidRPr="00464587">
              <w:rPr>
                <w:rFonts w:eastAsia="Times New Roman" w:cs="Arial"/>
                <w:color w:val="333D6B"/>
                <w:sz w:val="18"/>
                <w:szCs w:val="18"/>
                <w:lang w:eastAsia="es-CL"/>
              </w:rPr>
              <w:t>520,00</w:t>
            </w:r>
          </w:p>
        </w:tc>
        <w:tc>
          <w:tcPr>
            <w:tcW w:w="1020" w:type="dxa"/>
            <w:tcBorders>
              <w:top w:val="nil"/>
              <w:left w:val="nil"/>
              <w:bottom w:val="dotted" w:sz="4" w:space="0" w:color="E6344B"/>
              <w:right w:val="nil"/>
            </w:tcBorders>
            <w:shd w:val="clear" w:color="auto" w:fill="auto"/>
            <w:noWrap/>
            <w:vAlign w:val="center"/>
          </w:tcPr>
          <w:p w14:paraId="699E4077" w14:textId="37AA0D34" w:rsidR="0064582C" w:rsidRPr="00464587" w:rsidRDefault="0064582C" w:rsidP="0064582C">
            <w:pPr>
              <w:jc w:val="center"/>
              <w:rPr>
                <w:rFonts w:eastAsia="Times New Roman" w:cs="Arial"/>
                <w:color w:val="333D6B"/>
                <w:sz w:val="18"/>
                <w:szCs w:val="18"/>
                <w:lang w:eastAsia="es-CL"/>
              </w:rPr>
            </w:pPr>
            <w:r w:rsidRPr="00464587">
              <w:rPr>
                <w:rFonts w:eastAsia="Times New Roman" w:cs="Arial"/>
                <w:color w:val="333D6B"/>
                <w:sz w:val="18"/>
                <w:szCs w:val="18"/>
                <w:lang w:eastAsia="es-CL"/>
              </w:rPr>
              <w:t>567,88</w:t>
            </w:r>
          </w:p>
        </w:tc>
        <w:tc>
          <w:tcPr>
            <w:tcW w:w="1020" w:type="dxa"/>
            <w:tcBorders>
              <w:top w:val="nil"/>
              <w:left w:val="nil"/>
              <w:bottom w:val="dotted" w:sz="4" w:space="0" w:color="E6344B"/>
              <w:right w:val="nil"/>
            </w:tcBorders>
            <w:shd w:val="clear" w:color="auto" w:fill="auto"/>
            <w:noWrap/>
            <w:vAlign w:val="center"/>
          </w:tcPr>
          <w:p w14:paraId="771BF356" w14:textId="11C9424F" w:rsidR="0064582C" w:rsidRPr="00464587" w:rsidRDefault="0064582C" w:rsidP="0064582C">
            <w:pPr>
              <w:jc w:val="center"/>
              <w:rPr>
                <w:rFonts w:eastAsia="Times New Roman" w:cs="Arial"/>
                <w:color w:val="333D6B"/>
                <w:sz w:val="18"/>
                <w:szCs w:val="18"/>
                <w:lang w:eastAsia="es-CL"/>
              </w:rPr>
            </w:pPr>
            <w:r w:rsidRPr="00464587">
              <w:rPr>
                <w:rFonts w:eastAsia="Times New Roman" w:cs="Arial"/>
                <w:color w:val="333D6B"/>
                <w:sz w:val="18"/>
                <w:szCs w:val="18"/>
                <w:lang w:eastAsia="es-CL"/>
              </w:rPr>
              <w:t>633,92</w:t>
            </w:r>
          </w:p>
        </w:tc>
        <w:tc>
          <w:tcPr>
            <w:tcW w:w="1020" w:type="dxa"/>
            <w:tcBorders>
              <w:top w:val="nil"/>
              <w:left w:val="nil"/>
              <w:bottom w:val="dotted" w:sz="4" w:space="0" w:color="E6344B"/>
              <w:right w:val="nil"/>
            </w:tcBorders>
            <w:shd w:val="clear" w:color="auto" w:fill="auto"/>
            <w:noWrap/>
            <w:vAlign w:val="center"/>
          </w:tcPr>
          <w:p w14:paraId="06532FD8" w14:textId="71018FF0" w:rsidR="0064582C" w:rsidRPr="00464587" w:rsidRDefault="0064582C" w:rsidP="0064582C">
            <w:pPr>
              <w:jc w:val="center"/>
              <w:rPr>
                <w:rFonts w:eastAsia="Times New Roman" w:cs="Arial"/>
                <w:color w:val="333D6B"/>
                <w:sz w:val="18"/>
                <w:szCs w:val="18"/>
                <w:lang w:eastAsia="es-CL"/>
              </w:rPr>
            </w:pPr>
            <w:r w:rsidRPr="00464587">
              <w:rPr>
                <w:rFonts w:eastAsia="Times New Roman" w:cs="Arial"/>
                <w:color w:val="333D6B"/>
                <w:sz w:val="18"/>
                <w:szCs w:val="18"/>
                <w:lang w:eastAsia="es-CL"/>
              </w:rPr>
              <w:t>686,75</w:t>
            </w:r>
          </w:p>
        </w:tc>
        <w:tc>
          <w:tcPr>
            <w:tcW w:w="1020" w:type="dxa"/>
            <w:tcBorders>
              <w:top w:val="nil"/>
              <w:left w:val="nil"/>
              <w:bottom w:val="dotted" w:sz="4" w:space="0" w:color="E6344B"/>
              <w:right w:val="nil"/>
            </w:tcBorders>
            <w:shd w:val="clear" w:color="auto" w:fill="auto"/>
            <w:noWrap/>
            <w:vAlign w:val="center"/>
          </w:tcPr>
          <w:p w14:paraId="405F1FDA" w14:textId="63FBCFB7" w:rsidR="0064582C" w:rsidRPr="00464587" w:rsidRDefault="0064582C" w:rsidP="0064582C">
            <w:pPr>
              <w:jc w:val="center"/>
              <w:rPr>
                <w:rFonts w:eastAsia="Times New Roman" w:cs="Arial"/>
                <w:color w:val="333D6B"/>
                <w:sz w:val="18"/>
                <w:szCs w:val="18"/>
                <w:lang w:eastAsia="es-CL"/>
              </w:rPr>
            </w:pPr>
            <w:r w:rsidRPr="00464587">
              <w:rPr>
                <w:rFonts w:eastAsia="Times New Roman" w:cs="Arial"/>
                <w:color w:val="333D6B"/>
                <w:sz w:val="18"/>
                <w:szCs w:val="18"/>
                <w:lang w:eastAsia="es-CL"/>
              </w:rPr>
              <w:t>685,32</w:t>
            </w:r>
          </w:p>
        </w:tc>
      </w:tr>
      <w:tr w:rsidR="008D231F" w:rsidRPr="00464587" w14:paraId="489F5EEB" w14:textId="77777777" w:rsidTr="00464587">
        <w:trPr>
          <w:trHeight w:val="283"/>
          <w:jc w:val="center"/>
        </w:trPr>
        <w:tc>
          <w:tcPr>
            <w:tcW w:w="3686" w:type="dxa"/>
            <w:tcBorders>
              <w:top w:val="nil"/>
              <w:left w:val="nil"/>
              <w:bottom w:val="nil"/>
              <w:right w:val="nil"/>
            </w:tcBorders>
            <w:shd w:val="clear" w:color="000000" w:fill="BB1823"/>
            <w:noWrap/>
            <w:vAlign w:val="center"/>
            <w:hideMark/>
          </w:tcPr>
          <w:p w14:paraId="1EA91852" w14:textId="61BC953C" w:rsidR="008609A4" w:rsidRPr="00464587" w:rsidRDefault="008609A4" w:rsidP="008609A4">
            <w:pPr>
              <w:rPr>
                <w:rFonts w:eastAsia="Times New Roman" w:cs="Arial"/>
                <w:b/>
                <w:bCs/>
                <w:color w:val="FFFFFF"/>
                <w:sz w:val="18"/>
                <w:szCs w:val="18"/>
                <w:lang w:eastAsia="es-CL"/>
              </w:rPr>
            </w:pPr>
            <w:r w:rsidRPr="00464587">
              <w:rPr>
                <w:rFonts w:eastAsia="Times New Roman" w:cs="Arial"/>
                <w:b/>
                <w:bCs/>
                <w:color w:val="FFFFFF"/>
                <w:sz w:val="18"/>
                <w:szCs w:val="18"/>
                <w:lang w:eastAsia="es-CL"/>
              </w:rPr>
              <w:t>Rotación de Cuentas por Pagar (veces)</w:t>
            </w:r>
          </w:p>
        </w:tc>
        <w:tc>
          <w:tcPr>
            <w:tcW w:w="1020" w:type="dxa"/>
            <w:tcBorders>
              <w:top w:val="nil"/>
              <w:left w:val="nil"/>
              <w:bottom w:val="dotted" w:sz="4" w:space="0" w:color="E6344B"/>
              <w:right w:val="nil"/>
            </w:tcBorders>
            <w:shd w:val="clear" w:color="auto" w:fill="auto"/>
            <w:noWrap/>
            <w:vAlign w:val="center"/>
          </w:tcPr>
          <w:p w14:paraId="5816B68A" w14:textId="7A11739A" w:rsidR="008609A4" w:rsidRPr="00464587" w:rsidRDefault="005A3825" w:rsidP="006F1334">
            <w:pPr>
              <w:jc w:val="center"/>
              <w:rPr>
                <w:rFonts w:eastAsia="Times New Roman" w:cs="Arial"/>
                <w:color w:val="333D6B"/>
                <w:sz w:val="18"/>
                <w:szCs w:val="18"/>
                <w:lang w:eastAsia="es-CL"/>
              </w:rPr>
            </w:pPr>
            <w:r w:rsidRPr="00464587">
              <w:rPr>
                <w:rFonts w:eastAsia="Times New Roman" w:cs="Arial"/>
                <w:color w:val="333D6B"/>
                <w:sz w:val="18"/>
                <w:szCs w:val="18"/>
                <w:lang w:eastAsia="es-CL"/>
              </w:rPr>
              <w:t>0,03</w:t>
            </w:r>
          </w:p>
        </w:tc>
        <w:tc>
          <w:tcPr>
            <w:tcW w:w="1020" w:type="dxa"/>
            <w:tcBorders>
              <w:top w:val="nil"/>
              <w:left w:val="nil"/>
              <w:bottom w:val="dotted" w:sz="4" w:space="0" w:color="E6344B"/>
              <w:right w:val="nil"/>
            </w:tcBorders>
            <w:shd w:val="clear" w:color="auto" w:fill="auto"/>
            <w:noWrap/>
            <w:vAlign w:val="center"/>
          </w:tcPr>
          <w:p w14:paraId="7A65A12C" w14:textId="26C52093" w:rsidR="008609A4" w:rsidRPr="00464587" w:rsidRDefault="005A3825" w:rsidP="006F1334">
            <w:pPr>
              <w:jc w:val="center"/>
              <w:rPr>
                <w:rFonts w:eastAsia="Times New Roman" w:cs="Arial"/>
                <w:color w:val="333D6B"/>
                <w:sz w:val="18"/>
                <w:szCs w:val="18"/>
                <w:lang w:eastAsia="es-CL"/>
              </w:rPr>
            </w:pPr>
            <w:r w:rsidRPr="00464587">
              <w:rPr>
                <w:rFonts w:eastAsia="Times New Roman" w:cs="Arial"/>
                <w:color w:val="333D6B"/>
                <w:sz w:val="18"/>
                <w:szCs w:val="18"/>
                <w:lang w:eastAsia="es-CL"/>
              </w:rPr>
              <w:t>0,01</w:t>
            </w:r>
          </w:p>
        </w:tc>
        <w:tc>
          <w:tcPr>
            <w:tcW w:w="1020" w:type="dxa"/>
            <w:tcBorders>
              <w:top w:val="nil"/>
              <w:left w:val="nil"/>
              <w:bottom w:val="dotted" w:sz="4" w:space="0" w:color="E6344B"/>
              <w:right w:val="nil"/>
            </w:tcBorders>
            <w:shd w:val="clear" w:color="auto" w:fill="auto"/>
            <w:noWrap/>
            <w:vAlign w:val="center"/>
          </w:tcPr>
          <w:p w14:paraId="27E51B68" w14:textId="66756884" w:rsidR="008609A4" w:rsidRPr="00464587" w:rsidRDefault="005A3825" w:rsidP="006F1334">
            <w:pPr>
              <w:jc w:val="center"/>
              <w:rPr>
                <w:rFonts w:eastAsia="Times New Roman" w:cs="Arial"/>
                <w:color w:val="333D6B"/>
                <w:sz w:val="18"/>
                <w:szCs w:val="18"/>
                <w:lang w:eastAsia="es-CL"/>
              </w:rPr>
            </w:pPr>
            <w:r w:rsidRPr="00464587">
              <w:rPr>
                <w:rFonts w:eastAsia="Times New Roman" w:cs="Arial"/>
                <w:color w:val="333D6B"/>
                <w:sz w:val="18"/>
                <w:szCs w:val="18"/>
                <w:lang w:eastAsia="es-CL"/>
              </w:rPr>
              <w:t>0,01</w:t>
            </w:r>
          </w:p>
        </w:tc>
        <w:tc>
          <w:tcPr>
            <w:tcW w:w="1020" w:type="dxa"/>
            <w:tcBorders>
              <w:top w:val="nil"/>
              <w:left w:val="nil"/>
              <w:bottom w:val="dotted" w:sz="4" w:space="0" w:color="E6344B"/>
              <w:right w:val="nil"/>
            </w:tcBorders>
            <w:shd w:val="clear" w:color="auto" w:fill="auto"/>
            <w:noWrap/>
            <w:vAlign w:val="center"/>
          </w:tcPr>
          <w:p w14:paraId="1B593987" w14:textId="276864F5" w:rsidR="008609A4" w:rsidRPr="00464587" w:rsidRDefault="005A3825" w:rsidP="006F1334">
            <w:pPr>
              <w:jc w:val="center"/>
              <w:rPr>
                <w:rFonts w:eastAsia="Times New Roman" w:cs="Arial"/>
                <w:color w:val="333D6B"/>
                <w:sz w:val="18"/>
                <w:szCs w:val="18"/>
                <w:lang w:eastAsia="es-CL"/>
              </w:rPr>
            </w:pPr>
            <w:r w:rsidRPr="00464587">
              <w:rPr>
                <w:rFonts w:eastAsia="Times New Roman" w:cs="Arial"/>
                <w:color w:val="333D6B"/>
                <w:sz w:val="18"/>
                <w:szCs w:val="18"/>
                <w:lang w:eastAsia="es-CL"/>
              </w:rPr>
              <w:t>0,00</w:t>
            </w:r>
          </w:p>
        </w:tc>
        <w:tc>
          <w:tcPr>
            <w:tcW w:w="1020" w:type="dxa"/>
            <w:tcBorders>
              <w:top w:val="nil"/>
              <w:left w:val="nil"/>
              <w:bottom w:val="dotted" w:sz="4" w:space="0" w:color="E6344B"/>
              <w:right w:val="nil"/>
            </w:tcBorders>
            <w:shd w:val="clear" w:color="auto" w:fill="auto"/>
            <w:noWrap/>
            <w:vAlign w:val="center"/>
          </w:tcPr>
          <w:p w14:paraId="4900B43A" w14:textId="7A4090E9" w:rsidR="008609A4" w:rsidRPr="00464587" w:rsidRDefault="006F1334" w:rsidP="006F1334">
            <w:pPr>
              <w:jc w:val="center"/>
              <w:rPr>
                <w:rFonts w:eastAsia="Times New Roman" w:cs="Arial"/>
                <w:color w:val="333D6B"/>
                <w:sz w:val="18"/>
                <w:szCs w:val="18"/>
                <w:lang w:eastAsia="es-CL"/>
              </w:rPr>
            </w:pPr>
            <w:r w:rsidRPr="00464587">
              <w:rPr>
                <w:rFonts w:eastAsia="Times New Roman" w:cs="Arial"/>
                <w:color w:val="333D6B"/>
                <w:sz w:val="18"/>
                <w:szCs w:val="18"/>
                <w:lang w:eastAsia="es-CL"/>
              </w:rPr>
              <w:t>0,00</w:t>
            </w:r>
          </w:p>
        </w:tc>
        <w:tc>
          <w:tcPr>
            <w:tcW w:w="1020" w:type="dxa"/>
            <w:tcBorders>
              <w:top w:val="nil"/>
              <w:left w:val="nil"/>
              <w:bottom w:val="dotted" w:sz="4" w:space="0" w:color="E6344B"/>
              <w:right w:val="nil"/>
            </w:tcBorders>
            <w:shd w:val="clear" w:color="auto" w:fill="auto"/>
            <w:noWrap/>
            <w:vAlign w:val="center"/>
          </w:tcPr>
          <w:p w14:paraId="3B0EFA26" w14:textId="541DDAC0" w:rsidR="008609A4" w:rsidRPr="00464587" w:rsidRDefault="006F1334" w:rsidP="006F1334">
            <w:pPr>
              <w:jc w:val="center"/>
              <w:rPr>
                <w:rFonts w:eastAsia="Times New Roman" w:cs="Arial"/>
                <w:color w:val="333D6B"/>
                <w:sz w:val="18"/>
                <w:szCs w:val="18"/>
                <w:lang w:eastAsia="es-CL"/>
              </w:rPr>
            </w:pPr>
            <w:r w:rsidRPr="00464587">
              <w:rPr>
                <w:rFonts w:eastAsia="Times New Roman" w:cs="Arial"/>
                <w:color w:val="333D6B"/>
                <w:sz w:val="18"/>
                <w:szCs w:val="18"/>
                <w:lang w:eastAsia="es-CL"/>
              </w:rPr>
              <w:t>0,00</w:t>
            </w:r>
          </w:p>
        </w:tc>
      </w:tr>
    </w:tbl>
    <w:p w14:paraId="27835DA3" w14:textId="77777777" w:rsidR="00E90F3A" w:rsidRPr="00464587" w:rsidRDefault="00E90F3A" w:rsidP="004136C4">
      <w:pPr>
        <w:rPr>
          <w:sz w:val="18"/>
          <w:szCs w:val="18"/>
        </w:rPr>
      </w:pPr>
    </w:p>
    <w:tbl>
      <w:tblPr>
        <w:tblW w:w="9806" w:type="dxa"/>
        <w:jc w:val="center"/>
        <w:tblCellMar>
          <w:left w:w="70" w:type="dxa"/>
          <w:right w:w="70" w:type="dxa"/>
        </w:tblCellMar>
        <w:tblLook w:val="04A0" w:firstRow="1" w:lastRow="0" w:firstColumn="1" w:lastColumn="0" w:noHBand="0" w:noVBand="1"/>
      </w:tblPr>
      <w:tblGrid>
        <w:gridCol w:w="3686"/>
        <w:gridCol w:w="1020"/>
        <w:gridCol w:w="1020"/>
        <w:gridCol w:w="1020"/>
        <w:gridCol w:w="1020"/>
        <w:gridCol w:w="1020"/>
        <w:gridCol w:w="1020"/>
      </w:tblGrid>
      <w:tr w:rsidR="006F1334" w:rsidRPr="00464587" w14:paraId="5B1F1594" w14:textId="77777777" w:rsidTr="00464587">
        <w:trPr>
          <w:trHeight w:val="283"/>
          <w:jc w:val="center"/>
        </w:trPr>
        <w:tc>
          <w:tcPr>
            <w:tcW w:w="3686" w:type="dxa"/>
            <w:tcBorders>
              <w:top w:val="nil"/>
              <w:left w:val="nil"/>
              <w:bottom w:val="nil"/>
              <w:right w:val="nil"/>
            </w:tcBorders>
            <w:shd w:val="clear" w:color="000000" w:fill="BB1823"/>
            <w:vAlign w:val="center"/>
            <w:hideMark/>
          </w:tcPr>
          <w:p w14:paraId="23761F99" w14:textId="31A082A5" w:rsidR="006F1334" w:rsidRPr="00464587" w:rsidRDefault="006F1334" w:rsidP="00D83BC6">
            <w:pPr>
              <w:jc w:val="center"/>
              <w:rPr>
                <w:rFonts w:eastAsia="Times New Roman" w:cs="Arial"/>
                <w:b/>
                <w:bCs/>
                <w:color w:val="FFFFFF"/>
                <w:sz w:val="18"/>
                <w:szCs w:val="18"/>
                <w:lang w:eastAsia="es-CL"/>
              </w:rPr>
            </w:pPr>
            <w:r w:rsidRPr="00464587">
              <w:rPr>
                <w:rFonts w:eastAsia="Times New Roman" w:cs="Arial"/>
                <w:b/>
                <w:bCs/>
                <w:color w:val="FFFFFF"/>
                <w:sz w:val="18"/>
                <w:szCs w:val="18"/>
                <w:lang w:eastAsia="es-CL"/>
              </w:rPr>
              <w:t xml:space="preserve">Ratios de </w:t>
            </w:r>
            <w:r w:rsidR="00715FC0" w:rsidRPr="00464587">
              <w:rPr>
                <w:rFonts w:eastAsia="Times New Roman" w:cs="Arial"/>
                <w:b/>
                <w:bCs/>
                <w:color w:val="FFFFFF"/>
                <w:sz w:val="18"/>
                <w:szCs w:val="18"/>
                <w:lang w:eastAsia="es-CL"/>
              </w:rPr>
              <w:t>endeudamiento</w:t>
            </w:r>
          </w:p>
        </w:tc>
        <w:tc>
          <w:tcPr>
            <w:tcW w:w="1020" w:type="dxa"/>
            <w:tcBorders>
              <w:top w:val="nil"/>
              <w:left w:val="nil"/>
              <w:bottom w:val="nil"/>
              <w:right w:val="nil"/>
            </w:tcBorders>
            <w:shd w:val="clear" w:color="000000" w:fill="BB1823"/>
            <w:vAlign w:val="center"/>
            <w:hideMark/>
          </w:tcPr>
          <w:p w14:paraId="05A706D4" w14:textId="77777777" w:rsidR="006F1334" w:rsidRPr="00464587" w:rsidRDefault="006F1334" w:rsidP="00D83BC6">
            <w:pPr>
              <w:jc w:val="center"/>
              <w:rPr>
                <w:rFonts w:eastAsia="Times New Roman" w:cs="Arial"/>
                <w:b/>
                <w:bCs/>
                <w:color w:val="FFFFFF"/>
                <w:sz w:val="18"/>
                <w:szCs w:val="18"/>
                <w:lang w:eastAsia="es-CL"/>
              </w:rPr>
            </w:pPr>
            <w:r w:rsidRPr="00464587">
              <w:rPr>
                <w:rFonts w:eastAsia="Times New Roman" w:cs="Arial"/>
                <w:b/>
                <w:bCs/>
                <w:color w:val="FFFFFF"/>
                <w:sz w:val="18"/>
                <w:szCs w:val="18"/>
                <w:lang w:eastAsia="es-CL"/>
              </w:rPr>
              <w:t>2017</w:t>
            </w:r>
          </w:p>
        </w:tc>
        <w:tc>
          <w:tcPr>
            <w:tcW w:w="1020" w:type="dxa"/>
            <w:tcBorders>
              <w:top w:val="nil"/>
              <w:left w:val="nil"/>
              <w:bottom w:val="nil"/>
              <w:right w:val="nil"/>
            </w:tcBorders>
            <w:shd w:val="clear" w:color="000000" w:fill="BB1823"/>
            <w:vAlign w:val="center"/>
            <w:hideMark/>
          </w:tcPr>
          <w:p w14:paraId="73BDA91C" w14:textId="77777777" w:rsidR="006F1334" w:rsidRPr="00464587" w:rsidRDefault="006F1334" w:rsidP="00D83BC6">
            <w:pPr>
              <w:jc w:val="center"/>
              <w:rPr>
                <w:rFonts w:eastAsia="Times New Roman" w:cs="Arial"/>
                <w:b/>
                <w:bCs/>
                <w:color w:val="FFFFFF"/>
                <w:sz w:val="18"/>
                <w:szCs w:val="18"/>
                <w:lang w:eastAsia="es-CL"/>
              </w:rPr>
            </w:pPr>
            <w:r w:rsidRPr="00464587">
              <w:rPr>
                <w:rFonts w:eastAsia="Times New Roman" w:cs="Arial"/>
                <w:b/>
                <w:bCs/>
                <w:color w:val="FFFFFF"/>
                <w:sz w:val="18"/>
                <w:szCs w:val="18"/>
                <w:lang w:eastAsia="es-CL"/>
              </w:rPr>
              <w:t>2018</w:t>
            </w:r>
          </w:p>
        </w:tc>
        <w:tc>
          <w:tcPr>
            <w:tcW w:w="1020" w:type="dxa"/>
            <w:tcBorders>
              <w:top w:val="nil"/>
              <w:left w:val="nil"/>
              <w:bottom w:val="nil"/>
              <w:right w:val="nil"/>
            </w:tcBorders>
            <w:shd w:val="clear" w:color="000000" w:fill="BB1823"/>
            <w:vAlign w:val="center"/>
            <w:hideMark/>
          </w:tcPr>
          <w:p w14:paraId="4E0D9CEB" w14:textId="77777777" w:rsidR="006F1334" w:rsidRPr="00464587" w:rsidRDefault="006F1334" w:rsidP="00D83BC6">
            <w:pPr>
              <w:jc w:val="center"/>
              <w:rPr>
                <w:rFonts w:eastAsia="Times New Roman" w:cs="Arial"/>
                <w:b/>
                <w:bCs/>
                <w:color w:val="FFFFFF"/>
                <w:sz w:val="18"/>
                <w:szCs w:val="18"/>
                <w:lang w:eastAsia="es-CL"/>
              </w:rPr>
            </w:pPr>
            <w:r w:rsidRPr="00464587">
              <w:rPr>
                <w:rFonts w:eastAsia="Times New Roman" w:cs="Arial"/>
                <w:b/>
                <w:bCs/>
                <w:color w:val="FFFFFF"/>
                <w:sz w:val="18"/>
                <w:szCs w:val="18"/>
                <w:lang w:eastAsia="es-CL"/>
              </w:rPr>
              <w:t>2019</w:t>
            </w:r>
          </w:p>
        </w:tc>
        <w:tc>
          <w:tcPr>
            <w:tcW w:w="1020" w:type="dxa"/>
            <w:tcBorders>
              <w:top w:val="nil"/>
              <w:left w:val="nil"/>
              <w:bottom w:val="nil"/>
              <w:right w:val="nil"/>
            </w:tcBorders>
            <w:shd w:val="clear" w:color="000000" w:fill="BB1823"/>
            <w:vAlign w:val="center"/>
            <w:hideMark/>
          </w:tcPr>
          <w:p w14:paraId="7B49C60C" w14:textId="77777777" w:rsidR="006F1334" w:rsidRPr="00464587" w:rsidRDefault="006F1334" w:rsidP="00D83BC6">
            <w:pPr>
              <w:jc w:val="center"/>
              <w:rPr>
                <w:rFonts w:eastAsia="Times New Roman" w:cs="Arial"/>
                <w:b/>
                <w:bCs/>
                <w:color w:val="FFFFFF"/>
                <w:sz w:val="18"/>
                <w:szCs w:val="18"/>
                <w:lang w:eastAsia="es-CL"/>
              </w:rPr>
            </w:pPr>
            <w:r w:rsidRPr="00464587">
              <w:rPr>
                <w:rFonts w:eastAsia="Times New Roman" w:cs="Arial"/>
                <w:b/>
                <w:bCs/>
                <w:color w:val="FFFFFF"/>
                <w:sz w:val="18"/>
                <w:szCs w:val="18"/>
                <w:lang w:eastAsia="es-CL"/>
              </w:rPr>
              <w:t>2020</w:t>
            </w:r>
          </w:p>
        </w:tc>
        <w:tc>
          <w:tcPr>
            <w:tcW w:w="1020" w:type="dxa"/>
            <w:tcBorders>
              <w:top w:val="nil"/>
              <w:left w:val="nil"/>
              <w:bottom w:val="nil"/>
              <w:right w:val="nil"/>
            </w:tcBorders>
            <w:shd w:val="clear" w:color="000000" w:fill="BB1823"/>
            <w:vAlign w:val="center"/>
            <w:hideMark/>
          </w:tcPr>
          <w:p w14:paraId="583FC307" w14:textId="77777777" w:rsidR="006F1334" w:rsidRPr="00464587" w:rsidRDefault="006F1334" w:rsidP="00D83BC6">
            <w:pPr>
              <w:jc w:val="center"/>
              <w:rPr>
                <w:rFonts w:eastAsia="Times New Roman" w:cs="Arial"/>
                <w:b/>
                <w:bCs/>
                <w:color w:val="FFFFFF"/>
                <w:sz w:val="18"/>
                <w:szCs w:val="18"/>
                <w:lang w:eastAsia="es-CL"/>
              </w:rPr>
            </w:pPr>
            <w:r w:rsidRPr="00464587">
              <w:rPr>
                <w:rFonts w:eastAsia="Times New Roman" w:cs="Arial"/>
                <w:b/>
                <w:bCs/>
                <w:color w:val="FFFFFF"/>
                <w:sz w:val="18"/>
                <w:szCs w:val="18"/>
                <w:lang w:eastAsia="es-CL"/>
              </w:rPr>
              <w:t>2021</w:t>
            </w:r>
          </w:p>
        </w:tc>
        <w:tc>
          <w:tcPr>
            <w:tcW w:w="1020" w:type="dxa"/>
            <w:tcBorders>
              <w:top w:val="nil"/>
              <w:left w:val="nil"/>
              <w:bottom w:val="nil"/>
              <w:right w:val="nil"/>
            </w:tcBorders>
            <w:shd w:val="clear" w:color="000000" w:fill="BB1823"/>
            <w:vAlign w:val="center"/>
            <w:hideMark/>
          </w:tcPr>
          <w:p w14:paraId="2129C95F" w14:textId="77777777" w:rsidR="006F1334" w:rsidRPr="00464587" w:rsidRDefault="006F1334" w:rsidP="00D83BC6">
            <w:pPr>
              <w:jc w:val="center"/>
              <w:rPr>
                <w:rFonts w:eastAsia="Times New Roman" w:cs="Arial"/>
                <w:b/>
                <w:bCs/>
                <w:color w:val="FFFFFF"/>
                <w:sz w:val="18"/>
                <w:szCs w:val="18"/>
                <w:highlight w:val="yellow"/>
                <w:lang w:eastAsia="es-CL"/>
              </w:rPr>
            </w:pPr>
            <w:r w:rsidRPr="00464587">
              <w:rPr>
                <w:rFonts w:eastAsia="Times New Roman" w:cs="Arial"/>
                <w:b/>
                <w:bCs/>
                <w:color w:val="FFFFFF"/>
                <w:sz w:val="18"/>
                <w:szCs w:val="18"/>
                <w:lang w:eastAsia="es-CL"/>
              </w:rPr>
              <w:t>mar-22</w:t>
            </w:r>
          </w:p>
        </w:tc>
      </w:tr>
      <w:tr w:rsidR="008933D8" w:rsidRPr="00464587" w14:paraId="1007C999" w14:textId="77777777" w:rsidTr="00464587">
        <w:trPr>
          <w:trHeight w:val="283"/>
          <w:jc w:val="center"/>
        </w:trPr>
        <w:tc>
          <w:tcPr>
            <w:tcW w:w="3686" w:type="dxa"/>
            <w:tcBorders>
              <w:top w:val="nil"/>
              <w:left w:val="nil"/>
              <w:bottom w:val="nil"/>
              <w:right w:val="nil"/>
            </w:tcBorders>
            <w:shd w:val="clear" w:color="000000" w:fill="BB1823"/>
            <w:noWrap/>
            <w:vAlign w:val="center"/>
          </w:tcPr>
          <w:p w14:paraId="528BC753" w14:textId="34D91482" w:rsidR="008933D8" w:rsidRPr="00464587" w:rsidRDefault="008933D8" w:rsidP="008933D8">
            <w:pPr>
              <w:rPr>
                <w:rFonts w:eastAsia="Times New Roman" w:cs="Arial"/>
                <w:b/>
                <w:bCs/>
                <w:color w:val="FFFFFF"/>
                <w:sz w:val="18"/>
                <w:szCs w:val="18"/>
                <w:lang w:eastAsia="es-CL"/>
              </w:rPr>
            </w:pPr>
            <w:r w:rsidRPr="00464587">
              <w:rPr>
                <w:rFonts w:eastAsia="Times New Roman" w:cs="Arial"/>
                <w:b/>
                <w:bCs/>
                <w:color w:val="FFFFFF"/>
                <w:sz w:val="18"/>
                <w:szCs w:val="18"/>
                <w:lang w:eastAsia="es-CL"/>
              </w:rPr>
              <w:t>Endeudamiento (veces)</w:t>
            </w:r>
          </w:p>
        </w:tc>
        <w:tc>
          <w:tcPr>
            <w:tcW w:w="1020" w:type="dxa"/>
            <w:tcBorders>
              <w:top w:val="dotted" w:sz="4" w:space="0" w:color="E6344B"/>
              <w:left w:val="nil"/>
              <w:bottom w:val="dotted" w:sz="4" w:space="0" w:color="E6344B"/>
              <w:right w:val="nil"/>
            </w:tcBorders>
            <w:shd w:val="clear" w:color="auto" w:fill="auto"/>
            <w:noWrap/>
            <w:vAlign w:val="center"/>
          </w:tcPr>
          <w:p w14:paraId="576A9EF5" w14:textId="6CB2E27A"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0,83</w:t>
            </w:r>
          </w:p>
        </w:tc>
        <w:tc>
          <w:tcPr>
            <w:tcW w:w="1020" w:type="dxa"/>
            <w:tcBorders>
              <w:top w:val="dotted" w:sz="4" w:space="0" w:color="E6344B"/>
              <w:left w:val="nil"/>
              <w:bottom w:val="dotted" w:sz="4" w:space="0" w:color="E6344B"/>
              <w:right w:val="nil"/>
            </w:tcBorders>
            <w:shd w:val="clear" w:color="auto" w:fill="auto"/>
            <w:noWrap/>
            <w:vAlign w:val="center"/>
          </w:tcPr>
          <w:p w14:paraId="3060F4BF" w14:textId="1F7337E9"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0,82</w:t>
            </w:r>
          </w:p>
        </w:tc>
        <w:tc>
          <w:tcPr>
            <w:tcW w:w="1020" w:type="dxa"/>
            <w:tcBorders>
              <w:top w:val="dotted" w:sz="4" w:space="0" w:color="E6344B"/>
              <w:left w:val="nil"/>
              <w:bottom w:val="dotted" w:sz="4" w:space="0" w:color="E6344B"/>
              <w:right w:val="nil"/>
            </w:tcBorders>
            <w:shd w:val="clear" w:color="auto" w:fill="auto"/>
            <w:noWrap/>
            <w:vAlign w:val="center"/>
          </w:tcPr>
          <w:p w14:paraId="129A11C4" w14:textId="5B74F74C"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0,78</w:t>
            </w:r>
          </w:p>
        </w:tc>
        <w:tc>
          <w:tcPr>
            <w:tcW w:w="1020" w:type="dxa"/>
            <w:tcBorders>
              <w:top w:val="dotted" w:sz="4" w:space="0" w:color="E6344B"/>
              <w:left w:val="nil"/>
              <w:bottom w:val="dotted" w:sz="4" w:space="0" w:color="E6344B"/>
              <w:right w:val="nil"/>
            </w:tcBorders>
            <w:shd w:val="clear" w:color="auto" w:fill="auto"/>
            <w:noWrap/>
            <w:vAlign w:val="center"/>
          </w:tcPr>
          <w:p w14:paraId="3BA83F88" w14:textId="7FB4F3BA"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0,77</w:t>
            </w:r>
          </w:p>
        </w:tc>
        <w:tc>
          <w:tcPr>
            <w:tcW w:w="1020" w:type="dxa"/>
            <w:tcBorders>
              <w:top w:val="dotted" w:sz="4" w:space="0" w:color="E6344B"/>
              <w:left w:val="nil"/>
              <w:bottom w:val="dotted" w:sz="4" w:space="0" w:color="E6344B"/>
              <w:right w:val="nil"/>
            </w:tcBorders>
            <w:shd w:val="clear" w:color="auto" w:fill="auto"/>
            <w:noWrap/>
            <w:vAlign w:val="center"/>
          </w:tcPr>
          <w:p w14:paraId="409A0824" w14:textId="3526D9C7"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0,68</w:t>
            </w:r>
          </w:p>
        </w:tc>
        <w:tc>
          <w:tcPr>
            <w:tcW w:w="1020" w:type="dxa"/>
            <w:tcBorders>
              <w:top w:val="dotted" w:sz="4" w:space="0" w:color="E6344B"/>
              <w:left w:val="nil"/>
              <w:bottom w:val="dotted" w:sz="4" w:space="0" w:color="E6344B"/>
              <w:right w:val="nil"/>
            </w:tcBorders>
            <w:shd w:val="clear" w:color="auto" w:fill="auto"/>
            <w:noWrap/>
            <w:vAlign w:val="center"/>
          </w:tcPr>
          <w:p w14:paraId="70372EB5" w14:textId="1C7A0D70"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0,67</w:t>
            </w:r>
          </w:p>
        </w:tc>
      </w:tr>
      <w:tr w:rsidR="008933D8" w:rsidRPr="00464587" w14:paraId="4AC56F79" w14:textId="77777777" w:rsidTr="00464587">
        <w:trPr>
          <w:trHeight w:val="283"/>
          <w:jc w:val="center"/>
        </w:trPr>
        <w:tc>
          <w:tcPr>
            <w:tcW w:w="3686" w:type="dxa"/>
            <w:tcBorders>
              <w:top w:val="nil"/>
              <w:left w:val="nil"/>
              <w:bottom w:val="nil"/>
              <w:right w:val="nil"/>
            </w:tcBorders>
            <w:shd w:val="clear" w:color="000000" w:fill="BB1823"/>
            <w:noWrap/>
            <w:vAlign w:val="center"/>
          </w:tcPr>
          <w:p w14:paraId="6C51EF54" w14:textId="06F4A056" w:rsidR="008933D8" w:rsidRPr="00464587" w:rsidRDefault="008933D8" w:rsidP="008933D8">
            <w:pPr>
              <w:rPr>
                <w:rFonts w:eastAsia="Times New Roman" w:cs="Arial"/>
                <w:b/>
                <w:bCs/>
                <w:color w:val="FFFFFF"/>
                <w:sz w:val="18"/>
                <w:szCs w:val="18"/>
                <w:lang w:eastAsia="es-CL"/>
              </w:rPr>
            </w:pPr>
            <w:r w:rsidRPr="00464587">
              <w:rPr>
                <w:rFonts w:eastAsia="Times New Roman" w:cs="Arial"/>
                <w:b/>
                <w:bCs/>
                <w:color w:val="FFFFFF"/>
                <w:sz w:val="18"/>
                <w:szCs w:val="18"/>
                <w:lang w:eastAsia="es-CL"/>
              </w:rPr>
              <w:t>Pasivo Exigible sobre Patrimonio (veces)</w:t>
            </w:r>
          </w:p>
        </w:tc>
        <w:tc>
          <w:tcPr>
            <w:tcW w:w="1020" w:type="dxa"/>
            <w:tcBorders>
              <w:top w:val="dotted" w:sz="4" w:space="0" w:color="E6344B"/>
              <w:left w:val="nil"/>
              <w:bottom w:val="dotted" w:sz="4" w:space="0" w:color="E6344B"/>
              <w:right w:val="nil"/>
            </w:tcBorders>
            <w:shd w:val="clear" w:color="auto" w:fill="auto"/>
            <w:noWrap/>
            <w:vAlign w:val="center"/>
          </w:tcPr>
          <w:p w14:paraId="1E575318" w14:textId="7F00450A"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4,96</w:t>
            </w:r>
          </w:p>
        </w:tc>
        <w:tc>
          <w:tcPr>
            <w:tcW w:w="1020" w:type="dxa"/>
            <w:tcBorders>
              <w:top w:val="dotted" w:sz="4" w:space="0" w:color="E6344B"/>
              <w:left w:val="nil"/>
              <w:bottom w:val="dotted" w:sz="4" w:space="0" w:color="E6344B"/>
              <w:right w:val="nil"/>
            </w:tcBorders>
            <w:shd w:val="clear" w:color="auto" w:fill="auto"/>
            <w:noWrap/>
            <w:vAlign w:val="center"/>
          </w:tcPr>
          <w:p w14:paraId="171B70A6" w14:textId="7AD9DA6A"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4,49</w:t>
            </w:r>
          </w:p>
        </w:tc>
        <w:tc>
          <w:tcPr>
            <w:tcW w:w="1020" w:type="dxa"/>
            <w:tcBorders>
              <w:top w:val="dotted" w:sz="4" w:space="0" w:color="E6344B"/>
              <w:left w:val="nil"/>
              <w:bottom w:val="dotted" w:sz="4" w:space="0" w:color="E6344B"/>
              <w:right w:val="nil"/>
            </w:tcBorders>
            <w:shd w:val="clear" w:color="auto" w:fill="auto"/>
            <w:noWrap/>
            <w:vAlign w:val="center"/>
          </w:tcPr>
          <w:p w14:paraId="12BD5B3C" w14:textId="2F7278F7"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3,54</w:t>
            </w:r>
          </w:p>
        </w:tc>
        <w:tc>
          <w:tcPr>
            <w:tcW w:w="1020" w:type="dxa"/>
            <w:tcBorders>
              <w:top w:val="dotted" w:sz="4" w:space="0" w:color="E6344B"/>
              <w:left w:val="nil"/>
              <w:bottom w:val="dotted" w:sz="4" w:space="0" w:color="E6344B"/>
              <w:right w:val="nil"/>
            </w:tcBorders>
            <w:shd w:val="clear" w:color="auto" w:fill="auto"/>
            <w:noWrap/>
            <w:vAlign w:val="center"/>
          </w:tcPr>
          <w:p w14:paraId="0561D8DA" w14:textId="2DD6DB9A"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3,30</w:t>
            </w:r>
          </w:p>
        </w:tc>
        <w:tc>
          <w:tcPr>
            <w:tcW w:w="1020" w:type="dxa"/>
            <w:tcBorders>
              <w:top w:val="dotted" w:sz="4" w:space="0" w:color="E6344B"/>
              <w:left w:val="nil"/>
              <w:bottom w:val="dotted" w:sz="4" w:space="0" w:color="E6344B"/>
              <w:right w:val="nil"/>
            </w:tcBorders>
            <w:shd w:val="clear" w:color="auto" w:fill="auto"/>
            <w:noWrap/>
            <w:vAlign w:val="center"/>
          </w:tcPr>
          <w:p w14:paraId="15C8E4AF" w14:textId="4C237B15"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2,09</w:t>
            </w:r>
          </w:p>
        </w:tc>
        <w:tc>
          <w:tcPr>
            <w:tcW w:w="1020" w:type="dxa"/>
            <w:tcBorders>
              <w:top w:val="dotted" w:sz="4" w:space="0" w:color="E6344B"/>
              <w:left w:val="nil"/>
              <w:bottom w:val="dotted" w:sz="4" w:space="0" w:color="E6344B"/>
              <w:right w:val="nil"/>
            </w:tcBorders>
            <w:shd w:val="clear" w:color="auto" w:fill="auto"/>
            <w:noWrap/>
            <w:vAlign w:val="center"/>
          </w:tcPr>
          <w:p w14:paraId="56F9DDF9" w14:textId="0FC913E1"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2,07</w:t>
            </w:r>
          </w:p>
        </w:tc>
      </w:tr>
      <w:tr w:rsidR="008933D8" w:rsidRPr="00464587" w14:paraId="594B5181" w14:textId="77777777" w:rsidTr="00464587">
        <w:trPr>
          <w:trHeight w:val="283"/>
          <w:jc w:val="center"/>
        </w:trPr>
        <w:tc>
          <w:tcPr>
            <w:tcW w:w="3686" w:type="dxa"/>
            <w:tcBorders>
              <w:top w:val="nil"/>
              <w:left w:val="nil"/>
              <w:bottom w:val="nil"/>
              <w:right w:val="nil"/>
            </w:tcBorders>
            <w:shd w:val="clear" w:color="000000" w:fill="BB1823"/>
            <w:noWrap/>
            <w:vAlign w:val="center"/>
          </w:tcPr>
          <w:p w14:paraId="5F466EF7" w14:textId="71B7C64D" w:rsidR="008933D8" w:rsidRPr="00464587" w:rsidRDefault="008933D8" w:rsidP="008933D8">
            <w:pPr>
              <w:rPr>
                <w:rFonts w:eastAsia="Times New Roman" w:cs="Arial"/>
                <w:b/>
                <w:bCs/>
                <w:color w:val="FFFFFF"/>
                <w:sz w:val="18"/>
                <w:szCs w:val="18"/>
                <w:lang w:eastAsia="es-CL"/>
              </w:rPr>
            </w:pPr>
            <w:r w:rsidRPr="00464587">
              <w:rPr>
                <w:rFonts w:eastAsia="Times New Roman" w:cs="Arial"/>
                <w:b/>
                <w:bCs/>
                <w:color w:val="FFFFFF"/>
                <w:sz w:val="18"/>
                <w:szCs w:val="18"/>
                <w:lang w:eastAsia="es-CL"/>
              </w:rPr>
              <w:t>Pasivo Corto Plazo a Largo Plazo (veces)</w:t>
            </w:r>
          </w:p>
        </w:tc>
        <w:tc>
          <w:tcPr>
            <w:tcW w:w="1020" w:type="dxa"/>
            <w:tcBorders>
              <w:top w:val="dotted" w:sz="4" w:space="0" w:color="E6344B"/>
              <w:left w:val="nil"/>
              <w:bottom w:val="dotted" w:sz="4" w:space="0" w:color="E6344B"/>
              <w:right w:val="nil"/>
            </w:tcBorders>
            <w:shd w:val="clear" w:color="auto" w:fill="auto"/>
            <w:noWrap/>
            <w:vAlign w:val="center"/>
          </w:tcPr>
          <w:p w14:paraId="2C1BD392" w14:textId="64E8AC12"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0,10</w:t>
            </w:r>
          </w:p>
        </w:tc>
        <w:tc>
          <w:tcPr>
            <w:tcW w:w="1020" w:type="dxa"/>
            <w:tcBorders>
              <w:top w:val="dotted" w:sz="4" w:space="0" w:color="E6344B"/>
              <w:left w:val="nil"/>
              <w:bottom w:val="dotted" w:sz="4" w:space="0" w:color="E6344B"/>
              <w:right w:val="nil"/>
            </w:tcBorders>
            <w:shd w:val="clear" w:color="auto" w:fill="auto"/>
            <w:noWrap/>
            <w:vAlign w:val="center"/>
          </w:tcPr>
          <w:p w14:paraId="429059B6" w14:textId="1847B3F8"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0,14</w:t>
            </w:r>
          </w:p>
        </w:tc>
        <w:tc>
          <w:tcPr>
            <w:tcW w:w="1020" w:type="dxa"/>
            <w:tcBorders>
              <w:top w:val="dotted" w:sz="4" w:space="0" w:color="E6344B"/>
              <w:left w:val="nil"/>
              <w:bottom w:val="dotted" w:sz="4" w:space="0" w:color="E6344B"/>
              <w:right w:val="nil"/>
            </w:tcBorders>
            <w:shd w:val="clear" w:color="auto" w:fill="auto"/>
            <w:noWrap/>
            <w:vAlign w:val="center"/>
          </w:tcPr>
          <w:p w14:paraId="36CE7482" w14:textId="6F77E719"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0,14</w:t>
            </w:r>
          </w:p>
        </w:tc>
        <w:tc>
          <w:tcPr>
            <w:tcW w:w="1020" w:type="dxa"/>
            <w:tcBorders>
              <w:top w:val="dotted" w:sz="4" w:space="0" w:color="E6344B"/>
              <w:left w:val="nil"/>
              <w:bottom w:val="dotted" w:sz="4" w:space="0" w:color="E6344B"/>
              <w:right w:val="nil"/>
            </w:tcBorders>
            <w:shd w:val="clear" w:color="auto" w:fill="auto"/>
            <w:noWrap/>
            <w:vAlign w:val="center"/>
          </w:tcPr>
          <w:p w14:paraId="29586D74" w14:textId="4C3FD1FE"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0,12</w:t>
            </w:r>
          </w:p>
        </w:tc>
        <w:tc>
          <w:tcPr>
            <w:tcW w:w="1020" w:type="dxa"/>
            <w:tcBorders>
              <w:top w:val="dotted" w:sz="4" w:space="0" w:color="E6344B"/>
              <w:left w:val="nil"/>
              <w:bottom w:val="dotted" w:sz="4" w:space="0" w:color="E6344B"/>
              <w:right w:val="nil"/>
            </w:tcBorders>
            <w:shd w:val="clear" w:color="auto" w:fill="auto"/>
            <w:noWrap/>
            <w:vAlign w:val="center"/>
          </w:tcPr>
          <w:p w14:paraId="406BC6E5" w14:textId="7743D33A"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0,12</w:t>
            </w:r>
          </w:p>
        </w:tc>
        <w:tc>
          <w:tcPr>
            <w:tcW w:w="1020" w:type="dxa"/>
            <w:tcBorders>
              <w:top w:val="dotted" w:sz="4" w:space="0" w:color="E6344B"/>
              <w:left w:val="nil"/>
              <w:bottom w:val="dotted" w:sz="4" w:space="0" w:color="E6344B"/>
              <w:right w:val="nil"/>
            </w:tcBorders>
            <w:shd w:val="clear" w:color="auto" w:fill="auto"/>
            <w:noWrap/>
            <w:vAlign w:val="center"/>
          </w:tcPr>
          <w:p w14:paraId="01BA0B2C" w14:textId="4E99A35A"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0,12</w:t>
            </w:r>
          </w:p>
        </w:tc>
      </w:tr>
      <w:tr w:rsidR="008933D8" w:rsidRPr="00464587" w14:paraId="27790FAB" w14:textId="77777777" w:rsidTr="00464587">
        <w:trPr>
          <w:trHeight w:val="283"/>
          <w:jc w:val="center"/>
        </w:trPr>
        <w:tc>
          <w:tcPr>
            <w:tcW w:w="3686" w:type="dxa"/>
            <w:tcBorders>
              <w:top w:val="nil"/>
              <w:left w:val="nil"/>
              <w:bottom w:val="nil"/>
              <w:right w:val="nil"/>
            </w:tcBorders>
            <w:shd w:val="clear" w:color="000000" w:fill="BB1823"/>
            <w:noWrap/>
            <w:vAlign w:val="center"/>
          </w:tcPr>
          <w:p w14:paraId="6F82DAB6" w14:textId="323F679E" w:rsidR="008933D8" w:rsidRPr="00464587" w:rsidRDefault="008933D8" w:rsidP="008933D8">
            <w:pPr>
              <w:rPr>
                <w:rFonts w:eastAsia="Times New Roman" w:cs="Arial"/>
                <w:b/>
                <w:bCs/>
                <w:color w:val="FFFFFF"/>
                <w:sz w:val="18"/>
                <w:szCs w:val="18"/>
                <w:lang w:eastAsia="es-CL"/>
              </w:rPr>
            </w:pPr>
            <w:r w:rsidRPr="00464587">
              <w:rPr>
                <w:rFonts w:eastAsia="Times New Roman" w:cs="Arial"/>
                <w:b/>
                <w:bCs/>
                <w:color w:val="FFFFFF"/>
                <w:sz w:val="18"/>
                <w:szCs w:val="18"/>
                <w:lang w:eastAsia="es-CL"/>
              </w:rPr>
              <w:t>Período Pago de Deuda Financiera (veces)</w:t>
            </w:r>
          </w:p>
        </w:tc>
        <w:tc>
          <w:tcPr>
            <w:tcW w:w="1020" w:type="dxa"/>
            <w:tcBorders>
              <w:top w:val="dotted" w:sz="4" w:space="0" w:color="E6344B"/>
              <w:left w:val="nil"/>
              <w:bottom w:val="dotted" w:sz="4" w:space="0" w:color="E6344B"/>
              <w:right w:val="nil"/>
            </w:tcBorders>
            <w:shd w:val="clear" w:color="auto" w:fill="auto"/>
            <w:noWrap/>
            <w:vAlign w:val="center"/>
          </w:tcPr>
          <w:p w14:paraId="0A0D6AFC" w14:textId="1CB3C87D"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7,44</w:t>
            </w:r>
          </w:p>
        </w:tc>
        <w:tc>
          <w:tcPr>
            <w:tcW w:w="1020" w:type="dxa"/>
            <w:tcBorders>
              <w:top w:val="dotted" w:sz="4" w:space="0" w:color="E6344B"/>
              <w:left w:val="nil"/>
              <w:bottom w:val="dotted" w:sz="4" w:space="0" w:color="E6344B"/>
              <w:right w:val="nil"/>
            </w:tcBorders>
            <w:shd w:val="clear" w:color="auto" w:fill="auto"/>
            <w:noWrap/>
            <w:vAlign w:val="center"/>
          </w:tcPr>
          <w:p w14:paraId="3FCE0A8E" w14:textId="1BEBD212"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7,09</w:t>
            </w:r>
          </w:p>
        </w:tc>
        <w:tc>
          <w:tcPr>
            <w:tcW w:w="1020" w:type="dxa"/>
            <w:tcBorders>
              <w:top w:val="dotted" w:sz="4" w:space="0" w:color="E6344B"/>
              <w:left w:val="nil"/>
              <w:bottom w:val="dotted" w:sz="4" w:space="0" w:color="E6344B"/>
              <w:right w:val="nil"/>
            </w:tcBorders>
            <w:shd w:val="clear" w:color="auto" w:fill="auto"/>
            <w:noWrap/>
            <w:vAlign w:val="center"/>
          </w:tcPr>
          <w:p w14:paraId="5E77CE96" w14:textId="6E880947"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6,48</w:t>
            </w:r>
          </w:p>
        </w:tc>
        <w:tc>
          <w:tcPr>
            <w:tcW w:w="1020" w:type="dxa"/>
            <w:tcBorders>
              <w:top w:val="dotted" w:sz="4" w:space="0" w:color="E6344B"/>
              <w:left w:val="nil"/>
              <w:bottom w:val="dotted" w:sz="4" w:space="0" w:color="E6344B"/>
              <w:right w:val="nil"/>
            </w:tcBorders>
            <w:shd w:val="clear" w:color="auto" w:fill="auto"/>
            <w:noWrap/>
            <w:vAlign w:val="center"/>
          </w:tcPr>
          <w:p w14:paraId="353D4B00" w14:textId="5EA107BC"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7,86</w:t>
            </w:r>
          </w:p>
        </w:tc>
        <w:tc>
          <w:tcPr>
            <w:tcW w:w="1020" w:type="dxa"/>
            <w:tcBorders>
              <w:top w:val="dotted" w:sz="4" w:space="0" w:color="E6344B"/>
              <w:left w:val="nil"/>
              <w:bottom w:val="dotted" w:sz="4" w:space="0" w:color="E6344B"/>
              <w:right w:val="nil"/>
            </w:tcBorders>
            <w:shd w:val="clear" w:color="auto" w:fill="auto"/>
            <w:noWrap/>
            <w:vAlign w:val="center"/>
          </w:tcPr>
          <w:p w14:paraId="0B73182B" w14:textId="7851338E"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9,14</w:t>
            </w:r>
          </w:p>
        </w:tc>
        <w:tc>
          <w:tcPr>
            <w:tcW w:w="1020" w:type="dxa"/>
            <w:tcBorders>
              <w:top w:val="dotted" w:sz="4" w:space="0" w:color="E6344B"/>
              <w:left w:val="nil"/>
              <w:bottom w:val="dotted" w:sz="4" w:space="0" w:color="E6344B"/>
              <w:right w:val="nil"/>
            </w:tcBorders>
            <w:shd w:val="clear" w:color="auto" w:fill="auto"/>
            <w:noWrap/>
            <w:vAlign w:val="center"/>
          </w:tcPr>
          <w:p w14:paraId="5972E2F1" w14:textId="038E38C6"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9,39</w:t>
            </w:r>
          </w:p>
        </w:tc>
      </w:tr>
      <w:tr w:rsidR="008933D8" w:rsidRPr="00464587" w14:paraId="08CD3848" w14:textId="77777777" w:rsidTr="00464587">
        <w:trPr>
          <w:trHeight w:val="283"/>
          <w:jc w:val="center"/>
        </w:trPr>
        <w:tc>
          <w:tcPr>
            <w:tcW w:w="3686" w:type="dxa"/>
            <w:tcBorders>
              <w:top w:val="nil"/>
              <w:left w:val="nil"/>
              <w:bottom w:val="nil"/>
              <w:right w:val="nil"/>
            </w:tcBorders>
            <w:shd w:val="clear" w:color="000000" w:fill="BB1823"/>
            <w:noWrap/>
            <w:vAlign w:val="center"/>
          </w:tcPr>
          <w:p w14:paraId="6AF556E0" w14:textId="4576E4C0" w:rsidR="008933D8" w:rsidRPr="00464587" w:rsidRDefault="008933D8" w:rsidP="008933D8">
            <w:pPr>
              <w:rPr>
                <w:rFonts w:eastAsia="Times New Roman" w:cs="Arial"/>
                <w:b/>
                <w:bCs/>
                <w:color w:val="FFFFFF"/>
                <w:sz w:val="18"/>
                <w:szCs w:val="18"/>
                <w:lang w:eastAsia="es-CL"/>
              </w:rPr>
            </w:pPr>
            <w:r w:rsidRPr="00464587">
              <w:rPr>
                <w:rFonts w:eastAsia="Times New Roman" w:cs="Arial"/>
                <w:b/>
                <w:bCs/>
                <w:color w:val="FFFFFF"/>
                <w:sz w:val="18"/>
                <w:szCs w:val="18"/>
                <w:lang w:eastAsia="es-CL"/>
              </w:rPr>
              <w:t>EBITDA sobre Deuda Financiera (veces)</w:t>
            </w:r>
          </w:p>
        </w:tc>
        <w:tc>
          <w:tcPr>
            <w:tcW w:w="1020" w:type="dxa"/>
            <w:tcBorders>
              <w:top w:val="dotted" w:sz="4" w:space="0" w:color="E6344B"/>
              <w:left w:val="nil"/>
              <w:bottom w:val="dotted" w:sz="4" w:space="0" w:color="E6344B"/>
              <w:right w:val="nil"/>
            </w:tcBorders>
            <w:shd w:val="clear" w:color="auto" w:fill="auto"/>
            <w:noWrap/>
            <w:vAlign w:val="center"/>
          </w:tcPr>
          <w:p w14:paraId="6112C3BD" w14:textId="54AE4D30"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0,13</w:t>
            </w:r>
          </w:p>
        </w:tc>
        <w:tc>
          <w:tcPr>
            <w:tcW w:w="1020" w:type="dxa"/>
            <w:tcBorders>
              <w:top w:val="dotted" w:sz="4" w:space="0" w:color="E6344B"/>
              <w:left w:val="nil"/>
              <w:bottom w:val="dotted" w:sz="4" w:space="0" w:color="E6344B"/>
              <w:right w:val="nil"/>
            </w:tcBorders>
            <w:shd w:val="clear" w:color="auto" w:fill="auto"/>
            <w:noWrap/>
            <w:vAlign w:val="center"/>
          </w:tcPr>
          <w:p w14:paraId="27EC06F3" w14:textId="092826CF"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0,14</w:t>
            </w:r>
          </w:p>
        </w:tc>
        <w:tc>
          <w:tcPr>
            <w:tcW w:w="1020" w:type="dxa"/>
            <w:tcBorders>
              <w:top w:val="dotted" w:sz="4" w:space="0" w:color="E6344B"/>
              <w:left w:val="nil"/>
              <w:bottom w:val="dotted" w:sz="4" w:space="0" w:color="E6344B"/>
              <w:right w:val="nil"/>
            </w:tcBorders>
            <w:shd w:val="clear" w:color="auto" w:fill="auto"/>
            <w:noWrap/>
            <w:vAlign w:val="center"/>
          </w:tcPr>
          <w:p w14:paraId="24D3513A" w14:textId="26036B7D"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0,15</w:t>
            </w:r>
          </w:p>
        </w:tc>
        <w:tc>
          <w:tcPr>
            <w:tcW w:w="1020" w:type="dxa"/>
            <w:tcBorders>
              <w:top w:val="dotted" w:sz="4" w:space="0" w:color="E6344B"/>
              <w:left w:val="nil"/>
              <w:bottom w:val="dotted" w:sz="4" w:space="0" w:color="E6344B"/>
              <w:right w:val="nil"/>
            </w:tcBorders>
            <w:shd w:val="clear" w:color="auto" w:fill="auto"/>
            <w:noWrap/>
            <w:vAlign w:val="center"/>
          </w:tcPr>
          <w:p w14:paraId="59DFD358" w14:textId="5459869A"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0,13</w:t>
            </w:r>
          </w:p>
        </w:tc>
        <w:tc>
          <w:tcPr>
            <w:tcW w:w="1020" w:type="dxa"/>
            <w:tcBorders>
              <w:top w:val="dotted" w:sz="4" w:space="0" w:color="E6344B"/>
              <w:left w:val="nil"/>
              <w:bottom w:val="dotted" w:sz="4" w:space="0" w:color="E6344B"/>
              <w:right w:val="nil"/>
            </w:tcBorders>
            <w:shd w:val="clear" w:color="auto" w:fill="auto"/>
            <w:noWrap/>
            <w:vAlign w:val="center"/>
          </w:tcPr>
          <w:p w14:paraId="7ABBB66D" w14:textId="1808C66B"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0,11</w:t>
            </w:r>
          </w:p>
        </w:tc>
        <w:tc>
          <w:tcPr>
            <w:tcW w:w="1020" w:type="dxa"/>
            <w:tcBorders>
              <w:top w:val="dotted" w:sz="4" w:space="0" w:color="E6344B"/>
              <w:left w:val="nil"/>
              <w:bottom w:val="dotted" w:sz="4" w:space="0" w:color="E6344B"/>
              <w:right w:val="nil"/>
            </w:tcBorders>
            <w:shd w:val="clear" w:color="auto" w:fill="auto"/>
            <w:noWrap/>
            <w:vAlign w:val="center"/>
          </w:tcPr>
          <w:p w14:paraId="0E525D2D" w14:textId="4ED103FB"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0,11</w:t>
            </w:r>
          </w:p>
        </w:tc>
      </w:tr>
      <w:tr w:rsidR="002D752D" w:rsidRPr="00464587" w14:paraId="19BB8CCD" w14:textId="77777777" w:rsidTr="00464587">
        <w:trPr>
          <w:trHeight w:val="283"/>
          <w:jc w:val="center"/>
        </w:trPr>
        <w:tc>
          <w:tcPr>
            <w:tcW w:w="3686" w:type="dxa"/>
            <w:tcBorders>
              <w:top w:val="nil"/>
              <w:left w:val="nil"/>
              <w:bottom w:val="nil"/>
              <w:right w:val="nil"/>
            </w:tcBorders>
            <w:shd w:val="clear" w:color="000000" w:fill="BB1823"/>
            <w:noWrap/>
            <w:vAlign w:val="center"/>
          </w:tcPr>
          <w:p w14:paraId="5642B8DD" w14:textId="7D32771B" w:rsidR="002D752D" w:rsidRPr="00464587" w:rsidRDefault="002D752D" w:rsidP="002D752D">
            <w:pPr>
              <w:rPr>
                <w:rFonts w:eastAsia="Times New Roman" w:cs="Arial"/>
                <w:b/>
                <w:bCs/>
                <w:color w:val="FFFFFF"/>
                <w:sz w:val="18"/>
                <w:szCs w:val="18"/>
                <w:lang w:eastAsia="es-CL"/>
              </w:rPr>
            </w:pPr>
            <w:r w:rsidRPr="00464587">
              <w:rPr>
                <w:rFonts w:eastAsia="Times New Roman" w:cs="Arial"/>
                <w:b/>
                <w:bCs/>
                <w:color w:val="FFFFFF"/>
                <w:sz w:val="18"/>
                <w:szCs w:val="18"/>
                <w:lang w:eastAsia="es-CL"/>
              </w:rPr>
              <w:t>Porción Relativa Bancos y Bonos (%)</w:t>
            </w:r>
          </w:p>
        </w:tc>
        <w:tc>
          <w:tcPr>
            <w:tcW w:w="1020" w:type="dxa"/>
            <w:tcBorders>
              <w:top w:val="dotted" w:sz="4" w:space="0" w:color="E6344B"/>
              <w:left w:val="nil"/>
              <w:bottom w:val="dotted" w:sz="4" w:space="0" w:color="E6344B"/>
              <w:right w:val="nil"/>
            </w:tcBorders>
            <w:shd w:val="clear" w:color="auto" w:fill="auto"/>
            <w:noWrap/>
            <w:vAlign w:val="center"/>
          </w:tcPr>
          <w:p w14:paraId="58BAE81A" w14:textId="255BF1DE" w:rsidR="002D752D" w:rsidRPr="00464587" w:rsidRDefault="002D752D" w:rsidP="002D752D">
            <w:pPr>
              <w:jc w:val="center"/>
              <w:rPr>
                <w:rFonts w:eastAsia="Times New Roman" w:cs="Arial"/>
                <w:color w:val="333D6B"/>
                <w:sz w:val="18"/>
                <w:szCs w:val="18"/>
                <w:lang w:eastAsia="es-CL"/>
              </w:rPr>
            </w:pPr>
            <w:r w:rsidRPr="00464587">
              <w:rPr>
                <w:rFonts w:cs="Arial"/>
                <w:color w:val="333D6B"/>
                <w:sz w:val="18"/>
                <w:szCs w:val="18"/>
              </w:rPr>
              <w:t>91,45%</w:t>
            </w:r>
          </w:p>
        </w:tc>
        <w:tc>
          <w:tcPr>
            <w:tcW w:w="1020" w:type="dxa"/>
            <w:tcBorders>
              <w:top w:val="dotted" w:sz="4" w:space="0" w:color="E6344B"/>
              <w:left w:val="nil"/>
              <w:bottom w:val="dotted" w:sz="4" w:space="0" w:color="E6344B"/>
              <w:right w:val="nil"/>
            </w:tcBorders>
            <w:shd w:val="clear" w:color="auto" w:fill="auto"/>
            <w:noWrap/>
            <w:vAlign w:val="center"/>
          </w:tcPr>
          <w:p w14:paraId="156703EA" w14:textId="56A5C0C6" w:rsidR="002D752D" w:rsidRPr="00464587" w:rsidRDefault="002D752D" w:rsidP="002D752D">
            <w:pPr>
              <w:jc w:val="center"/>
              <w:rPr>
                <w:rFonts w:eastAsia="Times New Roman" w:cs="Arial"/>
                <w:color w:val="333D6B"/>
                <w:sz w:val="18"/>
                <w:szCs w:val="18"/>
                <w:lang w:eastAsia="es-CL"/>
              </w:rPr>
            </w:pPr>
            <w:r w:rsidRPr="00464587">
              <w:rPr>
                <w:rFonts w:cs="Arial"/>
                <w:color w:val="333D6B"/>
                <w:sz w:val="18"/>
                <w:szCs w:val="18"/>
              </w:rPr>
              <w:t>89,92%</w:t>
            </w:r>
          </w:p>
        </w:tc>
        <w:tc>
          <w:tcPr>
            <w:tcW w:w="1020" w:type="dxa"/>
            <w:tcBorders>
              <w:top w:val="dotted" w:sz="4" w:space="0" w:color="E6344B"/>
              <w:left w:val="nil"/>
              <w:bottom w:val="dotted" w:sz="4" w:space="0" w:color="E6344B"/>
              <w:right w:val="nil"/>
            </w:tcBorders>
            <w:shd w:val="clear" w:color="auto" w:fill="auto"/>
            <w:noWrap/>
            <w:vAlign w:val="center"/>
          </w:tcPr>
          <w:p w14:paraId="2C0DF303" w14:textId="71411C99" w:rsidR="002D752D" w:rsidRPr="00464587" w:rsidRDefault="002D752D" w:rsidP="002D752D">
            <w:pPr>
              <w:jc w:val="center"/>
              <w:rPr>
                <w:rFonts w:eastAsia="Times New Roman" w:cs="Arial"/>
                <w:color w:val="333D6B"/>
                <w:sz w:val="18"/>
                <w:szCs w:val="18"/>
                <w:lang w:eastAsia="es-CL"/>
              </w:rPr>
            </w:pPr>
            <w:r w:rsidRPr="00464587">
              <w:rPr>
                <w:rFonts w:cs="Arial"/>
                <w:color w:val="333D6B"/>
                <w:sz w:val="18"/>
                <w:szCs w:val="18"/>
              </w:rPr>
              <w:t>90,27%</w:t>
            </w:r>
          </w:p>
        </w:tc>
        <w:tc>
          <w:tcPr>
            <w:tcW w:w="1020" w:type="dxa"/>
            <w:tcBorders>
              <w:top w:val="dotted" w:sz="4" w:space="0" w:color="E6344B"/>
              <w:left w:val="nil"/>
              <w:bottom w:val="dotted" w:sz="4" w:space="0" w:color="E6344B"/>
              <w:right w:val="nil"/>
            </w:tcBorders>
            <w:shd w:val="clear" w:color="auto" w:fill="auto"/>
            <w:noWrap/>
            <w:vAlign w:val="center"/>
          </w:tcPr>
          <w:p w14:paraId="2E308D1D" w14:textId="2A48B2C6" w:rsidR="002D752D" w:rsidRPr="00464587" w:rsidRDefault="002D752D" w:rsidP="002D752D">
            <w:pPr>
              <w:jc w:val="center"/>
              <w:rPr>
                <w:rFonts w:eastAsia="Times New Roman" w:cs="Arial"/>
                <w:color w:val="333D6B"/>
                <w:sz w:val="18"/>
                <w:szCs w:val="18"/>
                <w:lang w:eastAsia="es-CL"/>
              </w:rPr>
            </w:pPr>
            <w:r w:rsidRPr="00464587">
              <w:rPr>
                <w:rFonts w:cs="Arial"/>
                <w:color w:val="333D6B"/>
                <w:sz w:val="18"/>
                <w:szCs w:val="18"/>
              </w:rPr>
              <w:t>92,59%</w:t>
            </w:r>
          </w:p>
        </w:tc>
        <w:tc>
          <w:tcPr>
            <w:tcW w:w="1020" w:type="dxa"/>
            <w:tcBorders>
              <w:top w:val="dotted" w:sz="4" w:space="0" w:color="E6344B"/>
              <w:left w:val="nil"/>
              <w:bottom w:val="dotted" w:sz="4" w:space="0" w:color="E6344B"/>
              <w:right w:val="nil"/>
            </w:tcBorders>
            <w:shd w:val="clear" w:color="auto" w:fill="auto"/>
            <w:noWrap/>
            <w:vAlign w:val="center"/>
          </w:tcPr>
          <w:p w14:paraId="17A24EE7" w14:textId="734627DA" w:rsidR="002D752D" w:rsidRPr="00464587" w:rsidRDefault="002D752D" w:rsidP="002D752D">
            <w:pPr>
              <w:jc w:val="center"/>
              <w:rPr>
                <w:rFonts w:eastAsia="Times New Roman" w:cs="Arial"/>
                <w:color w:val="333D6B"/>
                <w:sz w:val="18"/>
                <w:szCs w:val="18"/>
                <w:lang w:eastAsia="es-CL"/>
              </w:rPr>
            </w:pPr>
            <w:r w:rsidRPr="00464587">
              <w:rPr>
                <w:rFonts w:cs="Arial"/>
                <w:color w:val="333D6B"/>
                <w:sz w:val="18"/>
                <w:szCs w:val="18"/>
              </w:rPr>
              <w:t>92,25%</w:t>
            </w:r>
          </w:p>
        </w:tc>
        <w:tc>
          <w:tcPr>
            <w:tcW w:w="1020" w:type="dxa"/>
            <w:tcBorders>
              <w:top w:val="dotted" w:sz="4" w:space="0" w:color="E6344B"/>
              <w:left w:val="nil"/>
              <w:bottom w:val="dotted" w:sz="4" w:space="0" w:color="E6344B"/>
              <w:right w:val="nil"/>
            </w:tcBorders>
            <w:shd w:val="clear" w:color="auto" w:fill="auto"/>
            <w:noWrap/>
            <w:vAlign w:val="center"/>
          </w:tcPr>
          <w:p w14:paraId="48B9C4B1" w14:textId="25965404" w:rsidR="002D752D" w:rsidRPr="00464587" w:rsidRDefault="002D752D" w:rsidP="002D752D">
            <w:pPr>
              <w:jc w:val="center"/>
              <w:rPr>
                <w:rFonts w:eastAsia="Times New Roman" w:cs="Arial"/>
                <w:color w:val="333D6B"/>
                <w:sz w:val="18"/>
                <w:szCs w:val="18"/>
                <w:lang w:eastAsia="es-CL"/>
              </w:rPr>
            </w:pPr>
            <w:r w:rsidRPr="00464587">
              <w:rPr>
                <w:rFonts w:cs="Arial"/>
                <w:color w:val="333D6B"/>
                <w:sz w:val="18"/>
                <w:szCs w:val="18"/>
              </w:rPr>
              <w:t>92,55%</w:t>
            </w:r>
          </w:p>
        </w:tc>
      </w:tr>
      <w:tr w:rsidR="002D752D" w:rsidRPr="00464587" w14:paraId="77038640" w14:textId="77777777" w:rsidTr="00464587">
        <w:trPr>
          <w:trHeight w:val="283"/>
          <w:jc w:val="center"/>
        </w:trPr>
        <w:tc>
          <w:tcPr>
            <w:tcW w:w="3686" w:type="dxa"/>
            <w:tcBorders>
              <w:top w:val="nil"/>
              <w:left w:val="nil"/>
              <w:bottom w:val="nil"/>
              <w:right w:val="nil"/>
            </w:tcBorders>
            <w:shd w:val="clear" w:color="000000" w:fill="BB1823"/>
            <w:noWrap/>
            <w:vAlign w:val="center"/>
          </w:tcPr>
          <w:p w14:paraId="6AB1096C" w14:textId="14105374" w:rsidR="002D752D" w:rsidRPr="00464587" w:rsidRDefault="002D752D" w:rsidP="002D752D">
            <w:pPr>
              <w:rPr>
                <w:rFonts w:eastAsia="Times New Roman" w:cs="Arial"/>
                <w:b/>
                <w:bCs/>
                <w:color w:val="FFFFFF"/>
                <w:sz w:val="18"/>
                <w:szCs w:val="18"/>
                <w:lang w:eastAsia="es-CL"/>
              </w:rPr>
            </w:pPr>
            <w:r w:rsidRPr="00464587">
              <w:rPr>
                <w:rFonts w:eastAsia="Times New Roman" w:cs="Arial"/>
                <w:b/>
                <w:bCs/>
                <w:color w:val="FFFFFF"/>
                <w:sz w:val="18"/>
                <w:szCs w:val="18"/>
                <w:lang w:eastAsia="es-CL"/>
              </w:rPr>
              <w:t>Deuda Relacionada sobre Pasivos (%)</w:t>
            </w:r>
          </w:p>
        </w:tc>
        <w:tc>
          <w:tcPr>
            <w:tcW w:w="1020" w:type="dxa"/>
            <w:tcBorders>
              <w:top w:val="dotted" w:sz="4" w:space="0" w:color="E6344B"/>
              <w:left w:val="nil"/>
              <w:bottom w:val="dotted" w:sz="4" w:space="0" w:color="E6344B"/>
              <w:right w:val="nil"/>
            </w:tcBorders>
            <w:shd w:val="clear" w:color="auto" w:fill="auto"/>
            <w:noWrap/>
            <w:vAlign w:val="center"/>
          </w:tcPr>
          <w:p w14:paraId="24C354BE" w14:textId="171C00D0" w:rsidR="002D752D" w:rsidRPr="00464587" w:rsidRDefault="002D752D" w:rsidP="002D752D">
            <w:pPr>
              <w:jc w:val="center"/>
              <w:rPr>
                <w:rFonts w:eastAsia="Times New Roman" w:cs="Arial"/>
                <w:color w:val="333D6B"/>
                <w:sz w:val="18"/>
                <w:szCs w:val="18"/>
                <w:lang w:eastAsia="es-CL"/>
              </w:rPr>
            </w:pPr>
            <w:r w:rsidRPr="00464587">
              <w:rPr>
                <w:rFonts w:cs="Arial"/>
                <w:color w:val="333D6B"/>
                <w:sz w:val="18"/>
                <w:szCs w:val="18"/>
              </w:rPr>
              <w:t>0,00%</w:t>
            </w:r>
          </w:p>
        </w:tc>
        <w:tc>
          <w:tcPr>
            <w:tcW w:w="1020" w:type="dxa"/>
            <w:tcBorders>
              <w:top w:val="dotted" w:sz="4" w:space="0" w:color="E6344B"/>
              <w:left w:val="nil"/>
              <w:bottom w:val="dotted" w:sz="4" w:space="0" w:color="E6344B"/>
              <w:right w:val="nil"/>
            </w:tcBorders>
            <w:shd w:val="clear" w:color="auto" w:fill="auto"/>
            <w:noWrap/>
            <w:vAlign w:val="center"/>
          </w:tcPr>
          <w:p w14:paraId="7496D510" w14:textId="4E17342D" w:rsidR="002D752D" w:rsidRPr="00464587" w:rsidRDefault="002D752D" w:rsidP="002D752D">
            <w:pPr>
              <w:jc w:val="center"/>
              <w:rPr>
                <w:rFonts w:eastAsia="Times New Roman" w:cs="Arial"/>
                <w:color w:val="333D6B"/>
                <w:sz w:val="18"/>
                <w:szCs w:val="18"/>
                <w:lang w:eastAsia="es-CL"/>
              </w:rPr>
            </w:pPr>
            <w:r w:rsidRPr="00464587">
              <w:rPr>
                <w:rFonts w:cs="Arial"/>
                <w:color w:val="333D6B"/>
                <w:sz w:val="18"/>
                <w:szCs w:val="18"/>
              </w:rPr>
              <w:t>0,00%</w:t>
            </w:r>
          </w:p>
        </w:tc>
        <w:tc>
          <w:tcPr>
            <w:tcW w:w="1020" w:type="dxa"/>
            <w:tcBorders>
              <w:top w:val="dotted" w:sz="4" w:space="0" w:color="E6344B"/>
              <w:left w:val="nil"/>
              <w:bottom w:val="dotted" w:sz="4" w:space="0" w:color="E6344B"/>
              <w:right w:val="nil"/>
            </w:tcBorders>
            <w:shd w:val="clear" w:color="auto" w:fill="auto"/>
            <w:noWrap/>
            <w:vAlign w:val="center"/>
          </w:tcPr>
          <w:p w14:paraId="5978B10F" w14:textId="16AEB700" w:rsidR="002D752D" w:rsidRPr="00464587" w:rsidRDefault="002D752D" w:rsidP="002D752D">
            <w:pPr>
              <w:jc w:val="center"/>
              <w:rPr>
                <w:rFonts w:eastAsia="Times New Roman" w:cs="Arial"/>
                <w:color w:val="333D6B"/>
                <w:sz w:val="18"/>
                <w:szCs w:val="18"/>
                <w:lang w:eastAsia="es-CL"/>
              </w:rPr>
            </w:pPr>
            <w:r w:rsidRPr="00464587">
              <w:rPr>
                <w:rFonts w:cs="Arial"/>
                <w:color w:val="333D6B"/>
                <w:sz w:val="18"/>
                <w:szCs w:val="18"/>
              </w:rPr>
              <w:t>0,00%</w:t>
            </w:r>
          </w:p>
        </w:tc>
        <w:tc>
          <w:tcPr>
            <w:tcW w:w="1020" w:type="dxa"/>
            <w:tcBorders>
              <w:top w:val="dotted" w:sz="4" w:space="0" w:color="E6344B"/>
              <w:left w:val="nil"/>
              <w:bottom w:val="dotted" w:sz="4" w:space="0" w:color="E6344B"/>
              <w:right w:val="nil"/>
            </w:tcBorders>
            <w:shd w:val="clear" w:color="auto" w:fill="auto"/>
            <w:noWrap/>
            <w:vAlign w:val="center"/>
          </w:tcPr>
          <w:p w14:paraId="062D7C2C" w14:textId="29B5EC0B" w:rsidR="002D752D" w:rsidRPr="00464587" w:rsidRDefault="002D752D" w:rsidP="002D752D">
            <w:pPr>
              <w:jc w:val="center"/>
              <w:rPr>
                <w:rFonts w:eastAsia="Times New Roman" w:cs="Arial"/>
                <w:color w:val="333D6B"/>
                <w:sz w:val="18"/>
                <w:szCs w:val="18"/>
                <w:lang w:eastAsia="es-CL"/>
              </w:rPr>
            </w:pPr>
            <w:r w:rsidRPr="00464587">
              <w:rPr>
                <w:rFonts w:cs="Arial"/>
                <w:color w:val="333D6B"/>
                <w:sz w:val="18"/>
                <w:szCs w:val="18"/>
              </w:rPr>
              <w:t>0,00%</w:t>
            </w:r>
          </w:p>
        </w:tc>
        <w:tc>
          <w:tcPr>
            <w:tcW w:w="1020" w:type="dxa"/>
            <w:tcBorders>
              <w:top w:val="dotted" w:sz="4" w:space="0" w:color="E6344B"/>
              <w:left w:val="nil"/>
              <w:bottom w:val="dotted" w:sz="4" w:space="0" w:color="E6344B"/>
              <w:right w:val="nil"/>
            </w:tcBorders>
            <w:shd w:val="clear" w:color="auto" w:fill="auto"/>
            <w:noWrap/>
            <w:vAlign w:val="center"/>
          </w:tcPr>
          <w:p w14:paraId="1A0150CB" w14:textId="34558C5A" w:rsidR="002D752D" w:rsidRPr="00464587" w:rsidRDefault="002D752D" w:rsidP="002D752D">
            <w:pPr>
              <w:jc w:val="center"/>
              <w:rPr>
                <w:rFonts w:eastAsia="Times New Roman" w:cs="Arial"/>
                <w:color w:val="333D6B"/>
                <w:sz w:val="18"/>
                <w:szCs w:val="18"/>
                <w:lang w:eastAsia="es-CL"/>
              </w:rPr>
            </w:pPr>
            <w:r w:rsidRPr="00464587">
              <w:rPr>
                <w:rFonts w:cs="Arial"/>
                <w:color w:val="333D6B"/>
                <w:sz w:val="18"/>
                <w:szCs w:val="18"/>
              </w:rPr>
              <w:t>0,00%</w:t>
            </w:r>
          </w:p>
        </w:tc>
        <w:tc>
          <w:tcPr>
            <w:tcW w:w="1020" w:type="dxa"/>
            <w:tcBorders>
              <w:top w:val="dotted" w:sz="4" w:space="0" w:color="E6344B"/>
              <w:left w:val="nil"/>
              <w:bottom w:val="dotted" w:sz="4" w:space="0" w:color="E6344B"/>
              <w:right w:val="nil"/>
            </w:tcBorders>
            <w:shd w:val="clear" w:color="auto" w:fill="auto"/>
            <w:noWrap/>
            <w:vAlign w:val="center"/>
          </w:tcPr>
          <w:p w14:paraId="3F85470D" w14:textId="10A43BF2" w:rsidR="002D752D" w:rsidRPr="00464587" w:rsidRDefault="002D752D" w:rsidP="002D752D">
            <w:pPr>
              <w:jc w:val="center"/>
              <w:rPr>
                <w:rFonts w:eastAsia="Times New Roman" w:cs="Arial"/>
                <w:color w:val="333D6B"/>
                <w:sz w:val="18"/>
                <w:szCs w:val="18"/>
                <w:lang w:eastAsia="es-CL"/>
              </w:rPr>
            </w:pPr>
            <w:r w:rsidRPr="00464587">
              <w:rPr>
                <w:rFonts w:cs="Arial"/>
                <w:color w:val="333D6B"/>
                <w:sz w:val="18"/>
                <w:szCs w:val="18"/>
              </w:rPr>
              <w:t>0,00%</w:t>
            </w:r>
          </w:p>
        </w:tc>
      </w:tr>
      <w:tr w:rsidR="008933D8" w:rsidRPr="00464587" w14:paraId="72875A4C" w14:textId="77777777" w:rsidTr="00464587">
        <w:trPr>
          <w:trHeight w:val="283"/>
          <w:jc w:val="center"/>
        </w:trPr>
        <w:tc>
          <w:tcPr>
            <w:tcW w:w="3686" w:type="dxa"/>
            <w:tcBorders>
              <w:top w:val="nil"/>
              <w:left w:val="nil"/>
              <w:bottom w:val="nil"/>
              <w:right w:val="nil"/>
            </w:tcBorders>
            <w:shd w:val="clear" w:color="000000" w:fill="BB1823"/>
            <w:noWrap/>
            <w:vAlign w:val="center"/>
          </w:tcPr>
          <w:p w14:paraId="504F81C0" w14:textId="515E3A5E" w:rsidR="008933D8" w:rsidRPr="00464587" w:rsidRDefault="008933D8" w:rsidP="008933D8">
            <w:pPr>
              <w:rPr>
                <w:rFonts w:eastAsia="Times New Roman" w:cs="Arial"/>
                <w:b/>
                <w:bCs/>
                <w:color w:val="FFFFFF"/>
                <w:sz w:val="18"/>
                <w:szCs w:val="18"/>
                <w:lang w:eastAsia="es-CL"/>
              </w:rPr>
            </w:pPr>
            <w:r w:rsidRPr="00464587">
              <w:rPr>
                <w:rFonts w:eastAsia="Times New Roman" w:cs="Arial"/>
                <w:b/>
                <w:bCs/>
                <w:color w:val="FFFFFF"/>
                <w:sz w:val="18"/>
                <w:szCs w:val="18"/>
                <w:lang w:eastAsia="es-CL"/>
              </w:rPr>
              <w:t>Veces que se gana el Interés (veces)</w:t>
            </w:r>
          </w:p>
        </w:tc>
        <w:tc>
          <w:tcPr>
            <w:tcW w:w="1020" w:type="dxa"/>
            <w:tcBorders>
              <w:top w:val="dotted" w:sz="4" w:space="0" w:color="E6344B"/>
              <w:left w:val="nil"/>
              <w:bottom w:val="dotted" w:sz="4" w:space="0" w:color="E6344B"/>
              <w:right w:val="nil"/>
            </w:tcBorders>
            <w:shd w:val="clear" w:color="auto" w:fill="auto"/>
            <w:noWrap/>
            <w:vAlign w:val="center"/>
          </w:tcPr>
          <w:p w14:paraId="15318DD3" w14:textId="6AB532F3"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0,76</w:t>
            </w:r>
          </w:p>
        </w:tc>
        <w:tc>
          <w:tcPr>
            <w:tcW w:w="1020" w:type="dxa"/>
            <w:tcBorders>
              <w:top w:val="dotted" w:sz="4" w:space="0" w:color="E6344B"/>
              <w:left w:val="nil"/>
              <w:bottom w:val="dotted" w:sz="4" w:space="0" w:color="E6344B"/>
              <w:right w:val="nil"/>
            </w:tcBorders>
            <w:shd w:val="clear" w:color="auto" w:fill="auto"/>
            <w:noWrap/>
            <w:vAlign w:val="center"/>
          </w:tcPr>
          <w:p w14:paraId="291AA0C9" w14:textId="2BF1DBE5"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4,20</w:t>
            </w:r>
          </w:p>
        </w:tc>
        <w:tc>
          <w:tcPr>
            <w:tcW w:w="1020" w:type="dxa"/>
            <w:tcBorders>
              <w:top w:val="dotted" w:sz="4" w:space="0" w:color="E6344B"/>
              <w:left w:val="nil"/>
              <w:bottom w:val="dotted" w:sz="4" w:space="0" w:color="E6344B"/>
              <w:right w:val="nil"/>
            </w:tcBorders>
            <w:shd w:val="clear" w:color="auto" w:fill="auto"/>
            <w:noWrap/>
            <w:vAlign w:val="center"/>
          </w:tcPr>
          <w:p w14:paraId="7D96FD48" w14:textId="6D803519"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4,92</w:t>
            </w:r>
          </w:p>
        </w:tc>
        <w:tc>
          <w:tcPr>
            <w:tcW w:w="1020" w:type="dxa"/>
            <w:tcBorders>
              <w:top w:val="dotted" w:sz="4" w:space="0" w:color="E6344B"/>
              <w:left w:val="nil"/>
              <w:bottom w:val="dotted" w:sz="4" w:space="0" w:color="E6344B"/>
              <w:right w:val="nil"/>
            </w:tcBorders>
            <w:shd w:val="clear" w:color="auto" w:fill="auto"/>
            <w:noWrap/>
            <w:vAlign w:val="center"/>
          </w:tcPr>
          <w:p w14:paraId="247FB130" w14:textId="148BEDB9"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1,05</w:t>
            </w:r>
          </w:p>
        </w:tc>
        <w:tc>
          <w:tcPr>
            <w:tcW w:w="1020" w:type="dxa"/>
            <w:tcBorders>
              <w:top w:val="dotted" w:sz="4" w:space="0" w:color="E6344B"/>
              <w:left w:val="nil"/>
              <w:bottom w:val="dotted" w:sz="4" w:space="0" w:color="E6344B"/>
              <w:right w:val="nil"/>
            </w:tcBorders>
            <w:shd w:val="clear" w:color="auto" w:fill="auto"/>
            <w:noWrap/>
            <w:vAlign w:val="center"/>
          </w:tcPr>
          <w:p w14:paraId="51BD45FE" w14:textId="3D386ACA"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2,44</w:t>
            </w:r>
          </w:p>
        </w:tc>
        <w:tc>
          <w:tcPr>
            <w:tcW w:w="1020" w:type="dxa"/>
            <w:tcBorders>
              <w:top w:val="dotted" w:sz="4" w:space="0" w:color="E6344B"/>
              <w:left w:val="nil"/>
              <w:bottom w:val="dotted" w:sz="4" w:space="0" w:color="E6344B"/>
              <w:right w:val="nil"/>
            </w:tcBorders>
            <w:shd w:val="clear" w:color="auto" w:fill="auto"/>
            <w:noWrap/>
            <w:vAlign w:val="center"/>
          </w:tcPr>
          <w:p w14:paraId="65330D05" w14:textId="2AF2DB65" w:rsidR="008933D8" w:rsidRPr="00464587" w:rsidRDefault="008933D8" w:rsidP="008933D8">
            <w:pPr>
              <w:jc w:val="center"/>
              <w:rPr>
                <w:rFonts w:eastAsia="Times New Roman" w:cs="Arial"/>
                <w:color w:val="333D6B"/>
                <w:sz w:val="18"/>
                <w:szCs w:val="18"/>
                <w:lang w:eastAsia="es-CL"/>
              </w:rPr>
            </w:pPr>
            <w:r w:rsidRPr="00464587">
              <w:rPr>
                <w:rFonts w:cs="Arial"/>
                <w:color w:val="333D6B"/>
                <w:sz w:val="18"/>
                <w:szCs w:val="18"/>
              </w:rPr>
              <w:t>2,26</w:t>
            </w:r>
          </w:p>
        </w:tc>
      </w:tr>
    </w:tbl>
    <w:p w14:paraId="70259481" w14:textId="77777777" w:rsidR="00F976A9" w:rsidRPr="00464587" w:rsidRDefault="00F976A9" w:rsidP="00F976A9">
      <w:pPr>
        <w:tabs>
          <w:tab w:val="right" w:pos="7489"/>
          <w:tab w:val="left" w:pos="11160"/>
        </w:tabs>
        <w:spacing w:line="360" w:lineRule="auto"/>
        <w:jc w:val="both"/>
        <w:rPr>
          <w:rFonts w:ascii="Verdana" w:eastAsia="Times New Roman" w:hAnsi="Verdana" w:cs="Times New Roman"/>
          <w:b/>
          <w:color w:val="999999"/>
          <w:sz w:val="18"/>
          <w:szCs w:val="18"/>
          <w:lang w:eastAsia="es-ES"/>
        </w:rPr>
      </w:pPr>
    </w:p>
    <w:tbl>
      <w:tblPr>
        <w:tblW w:w="9806" w:type="dxa"/>
        <w:jc w:val="center"/>
        <w:tblCellMar>
          <w:left w:w="70" w:type="dxa"/>
          <w:right w:w="70" w:type="dxa"/>
        </w:tblCellMar>
        <w:tblLook w:val="04A0" w:firstRow="1" w:lastRow="0" w:firstColumn="1" w:lastColumn="0" w:noHBand="0" w:noVBand="1"/>
      </w:tblPr>
      <w:tblGrid>
        <w:gridCol w:w="3686"/>
        <w:gridCol w:w="1020"/>
        <w:gridCol w:w="1020"/>
        <w:gridCol w:w="1020"/>
        <w:gridCol w:w="1020"/>
        <w:gridCol w:w="1020"/>
        <w:gridCol w:w="1020"/>
      </w:tblGrid>
      <w:tr w:rsidR="00C82F4B" w:rsidRPr="00464587" w14:paraId="044EADEB" w14:textId="77777777" w:rsidTr="00464587">
        <w:trPr>
          <w:trHeight w:val="283"/>
          <w:jc w:val="center"/>
        </w:trPr>
        <w:tc>
          <w:tcPr>
            <w:tcW w:w="3686" w:type="dxa"/>
            <w:tcBorders>
              <w:top w:val="nil"/>
              <w:left w:val="nil"/>
              <w:bottom w:val="nil"/>
              <w:right w:val="nil"/>
            </w:tcBorders>
            <w:shd w:val="clear" w:color="000000" w:fill="BB1823"/>
            <w:vAlign w:val="center"/>
            <w:hideMark/>
          </w:tcPr>
          <w:p w14:paraId="3CA429A1" w14:textId="6DA28C0F" w:rsidR="00C82F4B" w:rsidRPr="00464587" w:rsidRDefault="00C82F4B" w:rsidP="00D83BC6">
            <w:pPr>
              <w:jc w:val="center"/>
              <w:rPr>
                <w:rFonts w:eastAsia="Times New Roman" w:cs="Arial"/>
                <w:b/>
                <w:bCs/>
                <w:color w:val="FFFFFF"/>
                <w:sz w:val="18"/>
                <w:szCs w:val="18"/>
                <w:lang w:eastAsia="es-CL"/>
              </w:rPr>
            </w:pPr>
            <w:r w:rsidRPr="00464587">
              <w:rPr>
                <w:rFonts w:eastAsia="Times New Roman" w:cs="Arial"/>
                <w:b/>
                <w:bCs/>
                <w:color w:val="FFFFFF"/>
                <w:sz w:val="18"/>
                <w:szCs w:val="18"/>
                <w:lang w:eastAsia="es-CL"/>
              </w:rPr>
              <w:t>Ratios de rentabilidad</w:t>
            </w:r>
          </w:p>
        </w:tc>
        <w:tc>
          <w:tcPr>
            <w:tcW w:w="1020" w:type="dxa"/>
            <w:tcBorders>
              <w:top w:val="nil"/>
              <w:left w:val="nil"/>
              <w:bottom w:val="nil"/>
              <w:right w:val="nil"/>
            </w:tcBorders>
            <w:shd w:val="clear" w:color="000000" w:fill="BB1823"/>
            <w:vAlign w:val="center"/>
            <w:hideMark/>
          </w:tcPr>
          <w:p w14:paraId="00DDD36B" w14:textId="77777777" w:rsidR="00C82F4B" w:rsidRPr="00464587" w:rsidRDefault="00C82F4B" w:rsidP="00D83BC6">
            <w:pPr>
              <w:jc w:val="center"/>
              <w:rPr>
                <w:rFonts w:eastAsia="Times New Roman" w:cs="Arial"/>
                <w:b/>
                <w:bCs/>
                <w:color w:val="FFFFFF"/>
                <w:sz w:val="18"/>
                <w:szCs w:val="18"/>
                <w:lang w:eastAsia="es-CL"/>
              </w:rPr>
            </w:pPr>
            <w:r w:rsidRPr="00464587">
              <w:rPr>
                <w:rFonts w:eastAsia="Times New Roman" w:cs="Arial"/>
                <w:b/>
                <w:bCs/>
                <w:color w:val="FFFFFF"/>
                <w:sz w:val="18"/>
                <w:szCs w:val="18"/>
                <w:lang w:eastAsia="es-CL"/>
              </w:rPr>
              <w:t>2017</w:t>
            </w:r>
          </w:p>
        </w:tc>
        <w:tc>
          <w:tcPr>
            <w:tcW w:w="1020" w:type="dxa"/>
            <w:tcBorders>
              <w:top w:val="nil"/>
              <w:left w:val="nil"/>
              <w:bottom w:val="nil"/>
              <w:right w:val="nil"/>
            </w:tcBorders>
            <w:shd w:val="clear" w:color="000000" w:fill="BB1823"/>
            <w:vAlign w:val="center"/>
            <w:hideMark/>
          </w:tcPr>
          <w:p w14:paraId="59045FC0" w14:textId="77777777" w:rsidR="00C82F4B" w:rsidRPr="00464587" w:rsidRDefault="00C82F4B" w:rsidP="00D83BC6">
            <w:pPr>
              <w:jc w:val="center"/>
              <w:rPr>
                <w:rFonts w:eastAsia="Times New Roman" w:cs="Arial"/>
                <w:b/>
                <w:bCs/>
                <w:color w:val="FFFFFF"/>
                <w:sz w:val="18"/>
                <w:szCs w:val="18"/>
                <w:lang w:eastAsia="es-CL"/>
              </w:rPr>
            </w:pPr>
            <w:r w:rsidRPr="00464587">
              <w:rPr>
                <w:rFonts w:eastAsia="Times New Roman" w:cs="Arial"/>
                <w:b/>
                <w:bCs/>
                <w:color w:val="FFFFFF"/>
                <w:sz w:val="18"/>
                <w:szCs w:val="18"/>
                <w:lang w:eastAsia="es-CL"/>
              </w:rPr>
              <w:t>2018</w:t>
            </w:r>
          </w:p>
        </w:tc>
        <w:tc>
          <w:tcPr>
            <w:tcW w:w="1020" w:type="dxa"/>
            <w:tcBorders>
              <w:top w:val="nil"/>
              <w:left w:val="nil"/>
              <w:bottom w:val="nil"/>
              <w:right w:val="nil"/>
            </w:tcBorders>
            <w:shd w:val="clear" w:color="000000" w:fill="BB1823"/>
            <w:vAlign w:val="center"/>
            <w:hideMark/>
          </w:tcPr>
          <w:p w14:paraId="17DA2537" w14:textId="77777777" w:rsidR="00C82F4B" w:rsidRPr="00464587" w:rsidRDefault="00C82F4B" w:rsidP="00D83BC6">
            <w:pPr>
              <w:jc w:val="center"/>
              <w:rPr>
                <w:rFonts w:eastAsia="Times New Roman" w:cs="Arial"/>
                <w:b/>
                <w:bCs/>
                <w:color w:val="FFFFFF"/>
                <w:sz w:val="18"/>
                <w:szCs w:val="18"/>
                <w:lang w:eastAsia="es-CL"/>
              </w:rPr>
            </w:pPr>
            <w:r w:rsidRPr="00464587">
              <w:rPr>
                <w:rFonts w:eastAsia="Times New Roman" w:cs="Arial"/>
                <w:b/>
                <w:bCs/>
                <w:color w:val="FFFFFF"/>
                <w:sz w:val="18"/>
                <w:szCs w:val="18"/>
                <w:lang w:eastAsia="es-CL"/>
              </w:rPr>
              <w:t>2019</w:t>
            </w:r>
          </w:p>
        </w:tc>
        <w:tc>
          <w:tcPr>
            <w:tcW w:w="1020" w:type="dxa"/>
            <w:tcBorders>
              <w:top w:val="nil"/>
              <w:left w:val="nil"/>
              <w:bottom w:val="nil"/>
              <w:right w:val="nil"/>
            </w:tcBorders>
            <w:shd w:val="clear" w:color="000000" w:fill="BB1823"/>
            <w:vAlign w:val="center"/>
            <w:hideMark/>
          </w:tcPr>
          <w:p w14:paraId="26D27377" w14:textId="77777777" w:rsidR="00C82F4B" w:rsidRPr="00464587" w:rsidRDefault="00C82F4B" w:rsidP="00D83BC6">
            <w:pPr>
              <w:jc w:val="center"/>
              <w:rPr>
                <w:rFonts w:eastAsia="Times New Roman" w:cs="Arial"/>
                <w:b/>
                <w:bCs/>
                <w:color w:val="FFFFFF"/>
                <w:sz w:val="18"/>
                <w:szCs w:val="18"/>
                <w:lang w:eastAsia="es-CL"/>
              </w:rPr>
            </w:pPr>
            <w:r w:rsidRPr="00464587">
              <w:rPr>
                <w:rFonts w:eastAsia="Times New Roman" w:cs="Arial"/>
                <w:b/>
                <w:bCs/>
                <w:color w:val="FFFFFF"/>
                <w:sz w:val="18"/>
                <w:szCs w:val="18"/>
                <w:lang w:eastAsia="es-CL"/>
              </w:rPr>
              <w:t>2020</w:t>
            </w:r>
          </w:p>
        </w:tc>
        <w:tc>
          <w:tcPr>
            <w:tcW w:w="1020" w:type="dxa"/>
            <w:tcBorders>
              <w:top w:val="nil"/>
              <w:left w:val="nil"/>
              <w:bottom w:val="nil"/>
              <w:right w:val="nil"/>
            </w:tcBorders>
            <w:shd w:val="clear" w:color="000000" w:fill="BB1823"/>
            <w:vAlign w:val="center"/>
            <w:hideMark/>
          </w:tcPr>
          <w:p w14:paraId="72A476D1" w14:textId="77777777" w:rsidR="00C82F4B" w:rsidRPr="00464587" w:rsidRDefault="00C82F4B" w:rsidP="00D83BC6">
            <w:pPr>
              <w:jc w:val="center"/>
              <w:rPr>
                <w:rFonts w:eastAsia="Times New Roman" w:cs="Arial"/>
                <w:b/>
                <w:bCs/>
                <w:color w:val="FFFFFF"/>
                <w:sz w:val="18"/>
                <w:szCs w:val="18"/>
                <w:lang w:eastAsia="es-CL"/>
              </w:rPr>
            </w:pPr>
            <w:r w:rsidRPr="00464587">
              <w:rPr>
                <w:rFonts w:eastAsia="Times New Roman" w:cs="Arial"/>
                <w:b/>
                <w:bCs/>
                <w:color w:val="FFFFFF"/>
                <w:sz w:val="18"/>
                <w:szCs w:val="18"/>
                <w:lang w:eastAsia="es-CL"/>
              </w:rPr>
              <w:t>2021</w:t>
            </w:r>
          </w:p>
        </w:tc>
        <w:tc>
          <w:tcPr>
            <w:tcW w:w="1020" w:type="dxa"/>
            <w:tcBorders>
              <w:top w:val="nil"/>
              <w:left w:val="nil"/>
              <w:bottom w:val="nil"/>
              <w:right w:val="nil"/>
            </w:tcBorders>
            <w:shd w:val="clear" w:color="000000" w:fill="BB1823"/>
            <w:vAlign w:val="center"/>
            <w:hideMark/>
          </w:tcPr>
          <w:p w14:paraId="2A6F20EB" w14:textId="77777777" w:rsidR="00C82F4B" w:rsidRPr="00464587" w:rsidRDefault="00C82F4B" w:rsidP="00D83BC6">
            <w:pPr>
              <w:jc w:val="center"/>
              <w:rPr>
                <w:rFonts w:eastAsia="Times New Roman" w:cs="Arial"/>
                <w:b/>
                <w:bCs/>
                <w:color w:val="FFFFFF"/>
                <w:sz w:val="18"/>
                <w:szCs w:val="18"/>
                <w:highlight w:val="yellow"/>
                <w:lang w:eastAsia="es-CL"/>
              </w:rPr>
            </w:pPr>
            <w:r w:rsidRPr="00464587">
              <w:rPr>
                <w:rFonts w:eastAsia="Times New Roman" w:cs="Arial"/>
                <w:b/>
                <w:bCs/>
                <w:color w:val="FFFFFF"/>
                <w:sz w:val="18"/>
                <w:szCs w:val="18"/>
                <w:lang w:eastAsia="es-CL"/>
              </w:rPr>
              <w:t>mar-22</w:t>
            </w:r>
          </w:p>
        </w:tc>
      </w:tr>
      <w:tr w:rsidR="005360B7" w:rsidRPr="00464587" w14:paraId="706F0285" w14:textId="77777777" w:rsidTr="00464587">
        <w:trPr>
          <w:trHeight w:val="283"/>
          <w:jc w:val="center"/>
        </w:trPr>
        <w:tc>
          <w:tcPr>
            <w:tcW w:w="3686" w:type="dxa"/>
            <w:tcBorders>
              <w:top w:val="nil"/>
              <w:left w:val="nil"/>
              <w:bottom w:val="nil"/>
              <w:right w:val="nil"/>
            </w:tcBorders>
            <w:shd w:val="clear" w:color="000000" w:fill="BB1823"/>
            <w:noWrap/>
            <w:vAlign w:val="center"/>
          </w:tcPr>
          <w:p w14:paraId="5972BBFA" w14:textId="6CF6384F" w:rsidR="005360B7" w:rsidRPr="00464587" w:rsidRDefault="005360B7" w:rsidP="005360B7">
            <w:pPr>
              <w:rPr>
                <w:rFonts w:eastAsia="Times New Roman" w:cs="Arial"/>
                <w:b/>
                <w:bCs/>
                <w:color w:val="FFFFFF"/>
                <w:sz w:val="18"/>
                <w:szCs w:val="18"/>
                <w:lang w:eastAsia="es-CL"/>
              </w:rPr>
            </w:pPr>
            <w:r w:rsidRPr="00464587">
              <w:rPr>
                <w:rFonts w:cs="Arial"/>
                <w:b/>
                <w:bCs/>
                <w:color w:val="FFFFFF"/>
                <w:sz w:val="18"/>
                <w:szCs w:val="18"/>
              </w:rPr>
              <w:t>Margen Bruto (%)</w:t>
            </w:r>
          </w:p>
        </w:tc>
        <w:tc>
          <w:tcPr>
            <w:tcW w:w="1020" w:type="dxa"/>
            <w:tcBorders>
              <w:top w:val="dotted" w:sz="4" w:space="0" w:color="E6344B"/>
              <w:left w:val="nil"/>
              <w:bottom w:val="dotted" w:sz="4" w:space="0" w:color="E6344B"/>
              <w:right w:val="nil"/>
            </w:tcBorders>
            <w:shd w:val="clear" w:color="auto" w:fill="auto"/>
            <w:noWrap/>
            <w:vAlign w:val="center"/>
          </w:tcPr>
          <w:p w14:paraId="21A25B16" w14:textId="078AA280"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84,20%</w:t>
            </w:r>
          </w:p>
        </w:tc>
        <w:tc>
          <w:tcPr>
            <w:tcW w:w="1020" w:type="dxa"/>
            <w:tcBorders>
              <w:top w:val="dotted" w:sz="4" w:space="0" w:color="E6344B"/>
              <w:left w:val="nil"/>
              <w:bottom w:val="dotted" w:sz="4" w:space="0" w:color="E6344B"/>
              <w:right w:val="nil"/>
            </w:tcBorders>
            <w:shd w:val="clear" w:color="auto" w:fill="auto"/>
            <w:noWrap/>
            <w:vAlign w:val="center"/>
          </w:tcPr>
          <w:p w14:paraId="6C8D18BB" w14:textId="6C88C32B"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82,11%</w:t>
            </w:r>
          </w:p>
        </w:tc>
        <w:tc>
          <w:tcPr>
            <w:tcW w:w="1020" w:type="dxa"/>
            <w:tcBorders>
              <w:top w:val="dotted" w:sz="4" w:space="0" w:color="E6344B"/>
              <w:left w:val="nil"/>
              <w:bottom w:val="dotted" w:sz="4" w:space="0" w:color="E6344B"/>
              <w:right w:val="nil"/>
            </w:tcBorders>
            <w:shd w:val="clear" w:color="auto" w:fill="auto"/>
            <w:noWrap/>
            <w:vAlign w:val="center"/>
          </w:tcPr>
          <w:p w14:paraId="7BFAB18B" w14:textId="55B42B13"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80,65%</w:t>
            </w:r>
          </w:p>
        </w:tc>
        <w:tc>
          <w:tcPr>
            <w:tcW w:w="1020" w:type="dxa"/>
            <w:tcBorders>
              <w:top w:val="dotted" w:sz="4" w:space="0" w:color="E6344B"/>
              <w:left w:val="nil"/>
              <w:bottom w:val="dotted" w:sz="4" w:space="0" w:color="E6344B"/>
              <w:right w:val="nil"/>
            </w:tcBorders>
            <w:shd w:val="clear" w:color="auto" w:fill="auto"/>
            <w:noWrap/>
            <w:vAlign w:val="center"/>
          </w:tcPr>
          <w:p w14:paraId="5B7A2C30" w14:textId="7BE56BD0"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79,08%</w:t>
            </w:r>
          </w:p>
        </w:tc>
        <w:tc>
          <w:tcPr>
            <w:tcW w:w="1020" w:type="dxa"/>
            <w:tcBorders>
              <w:top w:val="dotted" w:sz="4" w:space="0" w:color="E6344B"/>
              <w:left w:val="nil"/>
              <w:bottom w:val="dotted" w:sz="4" w:space="0" w:color="E6344B"/>
              <w:right w:val="nil"/>
            </w:tcBorders>
            <w:shd w:val="clear" w:color="auto" w:fill="auto"/>
            <w:noWrap/>
            <w:vAlign w:val="center"/>
          </w:tcPr>
          <w:p w14:paraId="78FE0FAA" w14:textId="2B660AB1"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76,00%</w:t>
            </w:r>
          </w:p>
        </w:tc>
        <w:tc>
          <w:tcPr>
            <w:tcW w:w="1020" w:type="dxa"/>
            <w:tcBorders>
              <w:top w:val="dotted" w:sz="4" w:space="0" w:color="E6344B"/>
              <w:left w:val="nil"/>
              <w:bottom w:val="dotted" w:sz="4" w:space="0" w:color="E6344B"/>
              <w:right w:val="nil"/>
            </w:tcBorders>
            <w:shd w:val="clear" w:color="auto" w:fill="auto"/>
            <w:noWrap/>
            <w:vAlign w:val="center"/>
          </w:tcPr>
          <w:p w14:paraId="45ABF1FB" w14:textId="04B4F328"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75,86%</w:t>
            </w:r>
          </w:p>
        </w:tc>
      </w:tr>
      <w:tr w:rsidR="005360B7" w:rsidRPr="00464587" w14:paraId="4C3DB5C8" w14:textId="77777777" w:rsidTr="00464587">
        <w:trPr>
          <w:trHeight w:val="283"/>
          <w:jc w:val="center"/>
        </w:trPr>
        <w:tc>
          <w:tcPr>
            <w:tcW w:w="3686" w:type="dxa"/>
            <w:tcBorders>
              <w:top w:val="nil"/>
              <w:left w:val="nil"/>
              <w:bottom w:val="nil"/>
              <w:right w:val="nil"/>
            </w:tcBorders>
            <w:shd w:val="clear" w:color="000000" w:fill="BB1823"/>
            <w:noWrap/>
            <w:vAlign w:val="center"/>
          </w:tcPr>
          <w:p w14:paraId="47BB41D8" w14:textId="3CDB1667" w:rsidR="005360B7" w:rsidRPr="00464587" w:rsidRDefault="005360B7" w:rsidP="005360B7">
            <w:pPr>
              <w:rPr>
                <w:rFonts w:eastAsia="Times New Roman" w:cs="Arial"/>
                <w:b/>
                <w:bCs/>
                <w:color w:val="FFFFFF"/>
                <w:sz w:val="18"/>
                <w:szCs w:val="18"/>
                <w:lang w:eastAsia="es-CL"/>
              </w:rPr>
            </w:pPr>
            <w:r w:rsidRPr="00464587">
              <w:rPr>
                <w:rFonts w:cs="Arial"/>
                <w:b/>
                <w:bCs/>
                <w:color w:val="FFFFFF"/>
                <w:sz w:val="18"/>
                <w:szCs w:val="18"/>
              </w:rPr>
              <w:t>Margen Neto (%)</w:t>
            </w:r>
          </w:p>
        </w:tc>
        <w:tc>
          <w:tcPr>
            <w:tcW w:w="1020" w:type="dxa"/>
            <w:tcBorders>
              <w:top w:val="dotted" w:sz="4" w:space="0" w:color="E6344B"/>
              <w:left w:val="nil"/>
              <w:bottom w:val="dotted" w:sz="4" w:space="0" w:color="E6344B"/>
              <w:right w:val="nil"/>
            </w:tcBorders>
            <w:shd w:val="clear" w:color="auto" w:fill="auto"/>
            <w:noWrap/>
            <w:vAlign w:val="center"/>
          </w:tcPr>
          <w:p w14:paraId="75D9DDC6" w14:textId="2CE10A9E"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2,17%</w:t>
            </w:r>
          </w:p>
        </w:tc>
        <w:tc>
          <w:tcPr>
            <w:tcW w:w="1020" w:type="dxa"/>
            <w:tcBorders>
              <w:top w:val="dotted" w:sz="4" w:space="0" w:color="E6344B"/>
              <w:left w:val="nil"/>
              <w:bottom w:val="dotted" w:sz="4" w:space="0" w:color="E6344B"/>
              <w:right w:val="nil"/>
            </w:tcBorders>
            <w:shd w:val="clear" w:color="auto" w:fill="auto"/>
            <w:noWrap/>
            <w:vAlign w:val="center"/>
          </w:tcPr>
          <w:p w14:paraId="421DDAC2" w14:textId="50611502"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9,19%</w:t>
            </w:r>
          </w:p>
        </w:tc>
        <w:tc>
          <w:tcPr>
            <w:tcW w:w="1020" w:type="dxa"/>
            <w:tcBorders>
              <w:top w:val="dotted" w:sz="4" w:space="0" w:color="E6344B"/>
              <w:left w:val="nil"/>
              <w:bottom w:val="dotted" w:sz="4" w:space="0" w:color="E6344B"/>
              <w:right w:val="nil"/>
            </w:tcBorders>
            <w:shd w:val="clear" w:color="auto" w:fill="auto"/>
            <w:noWrap/>
            <w:vAlign w:val="center"/>
          </w:tcPr>
          <w:p w14:paraId="0E5E18A0" w14:textId="376FBDC0"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14,21%</w:t>
            </w:r>
          </w:p>
        </w:tc>
        <w:tc>
          <w:tcPr>
            <w:tcW w:w="1020" w:type="dxa"/>
            <w:tcBorders>
              <w:top w:val="dotted" w:sz="4" w:space="0" w:color="E6344B"/>
              <w:left w:val="nil"/>
              <w:bottom w:val="dotted" w:sz="4" w:space="0" w:color="E6344B"/>
              <w:right w:val="nil"/>
            </w:tcBorders>
            <w:shd w:val="clear" w:color="auto" w:fill="auto"/>
            <w:noWrap/>
            <w:vAlign w:val="center"/>
          </w:tcPr>
          <w:p w14:paraId="4AE364ED" w14:textId="54CF484A"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2,40%</w:t>
            </w:r>
          </w:p>
        </w:tc>
        <w:tc>
          <w:tcPr>
            <w:tcW w:w="1020" w:type="dxa"/>
            <w:tcBorders>
              <w:top w:val="dotted" w:sz="4" w:space="0" w:color="E6344B"/>
              <w:left w:val="nil"/>
              <w:bottom w:val="dotted" w:sz="4" w:space="0" w:color="E6344B"/>
              <w:right w:val="nil"/>
            </w:tcBorders>
            <w:shd w:val="clear" w:color="auto" w:fill="auto"/>
            <w:noWrap/>
            <w:vAlign w:val="center"/>
          </w:tcPr>
          <w:p w14:paraId="10A3B7C9" w14:textId="2F151B0C"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6,28%</w:t>
            </w:r>
          </w:p>
        </w:tc>
        <w:tc>
          <w:tcPr>
            <w:tcW w:w="1020" w:type="dxa"/>
            <w:tcBorders>
              <w:top w:val="dotted" w:sz="4" w:space="0" w:color="E6344B"/>
              <w:left w:val="nil"/>
              <w:bottom w:val="dotted" w:sz="4" w:space="0" w:color="E6344B"/>
              <w:right w:val="nil"/>
            </w:tcBorders>
            <w:shd w:val="clear" w:color="auto" w:fill="auto"/>
            <w:noWrap/>
            <w:vAlign w:val="center"/>
          </w:tcPr>
          <w:p w14:paraId="73CE4BC5" w14:textId="57BB5EDE"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5,69%</w:t>
            </w:r>
          </w:p>
        </w:tc>
      </w:tr>
      <w:tr w:rsidR="005360B7" w:rsidRPr="00464587" w14:paraId="1858468D" w14:textId="77777777" w:rsidTr="00464587">
        <w:trPr>
          <w:trHeight w:val="283"/>
          <w:jc w:val="center"/>
        </w:trPr>
        <w:tc>
          <w:tcPr>
            <w:tcW w:w="3686" w:type="dxa"/>
            <w:tcBorders>
              <w:top w:val="nil"/>
              <w:left w:val="nil"/>
              <w:bottom w:val="nil"/>
              <w:right w:val="nil"/>
            </w:tcBorders>
            <w:shd w:val="clear" w:color="000000" w:fill="BB1823"/>
            <w:noWrap/>
            <w:vAlign w:val="center"/>
          </w:tcPr>
          <w:p w14:paraId="59CE3071" w14:textId="3BF72FE1" w:rsidR="005360B7" w:rsidRPr="00464587" w:rsidRDefault="005360B7" w:rsidP="005360B7">
            <w:pPr>
              <w:rPr>
                <w:rFonts w:eastAsia="Times New Roman" w:cs="Arial"/>
                <w:b/>
                <w:bCs/>
                <w:color w:val="FFFFFF"/>
                <w:sz w:val="18"/>
                <w:szCs w:val="18"/>
                <w:lang w:eastAsia="es-CL"/>
              </w:rPr>
            </w:pPr>
            <w:r w:rsidRPr="00464587">
              <w:rPr>
                <w:rFonts w:cs="Arial"/>
                <w:b/>
                <w:bCs/>
                <w:color w:val="FFFFFF"/>
                <w:sz w:val="18"/>
                <w:szCs w:val="18"/>
              </w:rPr>
              <w:t xml:space="preserve">Rotación del Activo (%) </w:t>
            </w:r>
          </w:p>
        </w:tc>
        <w:tc>
          <w:tcPr>
            <w:tcW w:w="1020" w:type="dxa"/>
            <w:tcBorders>
              <w:top w:val="dotted" w:sz="4" w:space="0" w:color="E6344B"/>
              <w:left w:val="nil"/>
              <w:bottom w:val="dotted" w:sz="4" w:space="0" w:color="E6344B"/>
              <w:right w:val="nil"/>
            </w:tcBorders>
            <w:shd w:val="clear" w:color="auto" w:fill="auto"/>
            <w:noWrap/>
            <w:vAlign w:val="center"/>
          </w:tcPr>
          <w:p w14:paraId="56255031" w14:textId="4A335DBD"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25,54%</w:t>
            </w:r>
          </w:p>
        </w:tc>
        <w:tc>
          <w:tcPr>
            <w:tcW w:w="1020" w:type="dxa"/>
            <w:tcBorders>
              <w:top w:val="dotted" w:sz="4" w:space="0" w:color="E6344B"/>
              <w:left w:val="nil"/>
              <w:bottom w:val="dotted" w:sz="4" w:space="0" w:color="E6344B"/>
              <w:right w:val="nil"/>
            </w:tcBorders>
            <w:shd w:val="clear" w:color="auto" w:fill="auto"/>
            <w:noWrap/>
            <w:vAlign w:val="center"/>
          </w:tcPr>
          <w:p w14:paraId="70824C47" w14:textId="2F9FF580"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22,29%</w:t>
            </w:r>
          </w:p>
        </w:tc>
        <w:tc>
          <w:tcPr>
            <w:tcW w:w="1020" w:type="dxa"/>
            <w:tcBorders>
              <w:top w:val="dotted" w:sz="4" w:space="0" w:color="E6344B"/>
              <w:left w:val="nil"/>
              <w:bottom w:val="dotted" w:sz="4" w:space="0" w:color="E6344B"/>
              <w:right w:val="nil"/>
            </w:tcBorders>
            <w:shd w:val="clear" w:color="auto" w:fill="auto"/>
            <w:noWrap/>
            <w:vAlign w:val="center"/>
          </w:tcPr>
          <w:p w14:paraId="51B52FE3" w14:textId="269A012C"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20,80%</w:t>
            </w:r>
          </w:p>
        </w:tc>
        <w:tc>
          <w:tcPr>
            <w:tcW w:w="1020" w:type="dxa"/>
            <w:tcBorders>
              <w:top w:val="dotted" w:sz="4" w:space="0" w:color="E6344B"/>
              <w:left w:val="nil"/>
              <w:bottom w:val="dotted" w:sz="4" w:space="0" w:color="E6344B"/>
              <w:right w:val="nil"/>
            </w:tcBorders>
            <w:shd w:val="clear" w:color="auto" w:fill="auto"/>
            <w:noWrap/>
            <w:vAlign w:val="center"/>
          </w:tcPr>
          <w:p w14:paraId="2EFAE71D" w14:textId="7D2BCE5F"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18,98%</w:t>
            </w:r>
          </w:p>
        </w:tc>
        <w:tc>
          <w:tcPr>
            <w:tcW w:w="1020" w:type="dxa"/>
            <w:tcBorders>
              <w:top w:val="dotted" w:sz="4" w:space="0" w:color="E6344B"/>
              <w:left w:val="nil"/>
              <w:bottom w:val="dotted" w:sz="4" w:space="0" w:color="E6344B"/>
              <w:right w:val="nil"/>
            </w:tcBorders>
            <w:shd w:val="clear" w:color="auto" w:fill="auto"/>
            <w:noWrap/>
            <w:vAlign w:val="center"/>
          </w:tcPr>
          <w:p w14:paraId="6A812098" w14:textId="1499071A"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15,57%</w:t>
            </w:r>
          </w:p>
        </w:tc>
        <w:tc>
          <w:tcPr>
            <w:tcW w:w="1020" w:type="dxa"/>
            <w:tcBorders>
              <w:top w:val="dotted" w:sz="4" w:space="0" w:color="E6344B"/>
              <w:left w:val="nil"/>
              <w:bottom w:val="dotted" w:sz="4" w:space="0" w:color="E6344B"/>
              <w:right w:val="nil"/>
            </w:tcBorders>
            <w:shd w:val="clear" w:color="auto" w:fill="auto"/>
            <w:noWrap/>
            <w:vAlign w:val="center"/>
          </w:tcPr>
          <w:p w14:paraId="76CC57FC" w14:textId="4DB23C33"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15,71%</w:t>
            </w:r>
          </w:p>
        </w:tc>
      </w:tr>
      <w:tr w:rsidR="005360B7" w:rsidRPr="00464587" w14:paraId="326858CE" w14:textId="77777777" w:rsidTr="00464587">
        <w:trPr>
          <w:trHeight w:val="283"/>
          <w:jc w:val="center"/>
        </w:trPr>
        <w:tc>
          <w:tcPr>
            <w:tcW w:w="3686" w:type="dxa"/>
            <w:tcBorders>
              <w:top w:val="nil"/>
              <w:left w:val="nil"/>
              <w:bottom w:val="nil"/>
              <w:right w:val="nil"/>
            </w:tcBorders>
            <w:shd w:val="clear" w:color="000000" w:fill="BB1823"/>
            <w:noWrap/>
            <w:vAlign w:val="center"/>
          </w:tcPr>
          <w:p w14:paraId="0A284133" w14:textId="14F4A900" w:rsidR="005360B7" w:rsidRPr="00464587" w:rsidRDefault="005360B7" w:rsidP="005360B7">
            <w:pPr>
              <w:rPr>
                <w:rFonts w:eastAsia="Times New Roman" w:cs="Arial"/>
                <w:b/>
                <w:bCs/>
                <w:color w:val="FFFFFF"/>
                <w:sz w:val="18"/>
                <w:szCs w:val="18"/>
                <w:lang w:eastAsia="es-CL"/>
              </w:rPr>
            </w:pPr>
            <w:r w:rsidRPr="00464587">
              <w:rPr>
                <w:rFonts w:cs="Arial"/>
                <w:b/>
                <w:bCs/>
                <w:color w:val="FFFFFF"/>
                <w:sz w:val="18"/>
                <w:szCs w:val="18"/>
              </w:rPr>
              <w:t>Rentabilidad Total del Activo (%) *</w:t>
            </w:r>
          </w:p>
        </w:tc>
        <w:tc>
          <w:tcPr>
            <w:tcW w:w="1020" w:type="dxa"/>
            <w:tcBorders>
              <w:top w:val="dotted" w:sz="4" w:space="0" w:color="E6344B"/>
              <w:left w:val="nil"/>
              <w:bottom w:val="dotted" w:sz="4" w:space="0" w:color="E6344B"/>
              <w:right w:val="nil"/>
            </w:tcBorders>
            <w:shd w:val="clear" w:color="auto" w:fill="auto"/>
            <w:noWrap/>
            <w:vAlign w:val="center"/>
          </w:tcPr>
          <w:p w14:paraId="4559FE72" w14:textId="49BC3C81"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0,53%</w:t>
            </w:r>
          </w:p>
        </w:tc>
        <w:tc>
          <w:tcPr>
            <w:tcW w:w="1020" w:type="dxa"/>
            <w:tcBorders>
              <w:top w:val="dotted" w:sz="4" w:space="0" w:color="E6344B"/>
              <w:left w:val="nil"/>
              <w:bottom w:val="dotted" w:sz="4" w:space="0" w:color="E6344B"/>
              <w:right w:val="nil"/>
            </w:tcBorders>
            <w:shd w:val="clear" w:color="auto" w:fill="auto"/>
            <w:noWrap/>
            <w:vAlign w:val="center"/>
          </w:tcPr>
          <w:p w14:paraId="288328BE" w14:textId="556A01BF"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2,04%</w:t>
            </w:r>
          </w:p>
        </w:tc>
        <w:tc>
          <w:tcPr>
            <w:tcW w:w="1020" w:type="dxa"/>
            <w:tcBorders>
              <w:top w:val="dotted" w:sz="4" w:space="0" w:color="E6344B"/>
              <w:left w:val="nil"/>
              <w:bottom w:val="dotted" w:sz="4" w:space="0" w:color="E6344B"/>
              <w:right w:val="nil"/>
            </w:tcBorders>
            <w:shd w:val="clear" w:color="auto" w:fill="auto"/>
            <w:noWrap/>
            <w:vAlign w:val="center"/>
          </w:tcPr>
          <w:p w14:paraId="4ABEC5E2" w14:textId="5ED1D0E7"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2,95%</w:t>
            </w:r>
          </w:p>
        </w:tc>
        <w:tc>
          <w:tcPr>
            <w:tcW w:w="1020" w:type="dxa"/>
            <w:tcBorders>
              <w:top w:val="dotted" w:sz="4" w:space="0" w:color="E6344B"/>
              <w:left w:val="nil"/>
              <w:bottom w:val="dotted" w:sz="4" w:space="0" w:color="E6344B"/>
              <w:right w:val="nil"/>
            </w:tcBorders>
            <w:shd w:val="clear" w:color="auto" w:fill="auto"/>
            <w:noWrap/>
            <w:vAlign w:val="center"/>
          </w:tcPr>
          <w:p w14:paraId="13BA462C" w14:textId="324829ED"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0,44%</w:t>
            </w:r>
          </w:p>
        </w:tc>
        <w:tc>
          <w:tcPr>
            <w:tcW w:w="1020" w:type="dxa"/>
            <w:tcBorders>
              <w:top w:val="dotted" w:sz="4" w:space="0" w:color="E6344B"/>
              <w:left w:val="nil"/>
              <w:bottom w:val="dotted" w:sz="4" w:space="0" w:color="E6344B"/>
              <w:right w:val="nil"/>
            </w:tcBorders>
            <w:shd w:val="clear" w:color="auto" w:fill="auto"/>
            <w:noWrap/>
            <w:vAlign w:val="center"/>
          </w:tcPr>
          <w:p w14:paraId="6C22BC01" w14:textId="157D342E"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0,97%</w:t>
            </w:r>
          </w:p>
        </w:tc>
        <w:tc>
          <w:tcPr>
            <w:tcW w:w="1020" w:type="dxa"/>
            <w:tcBorders>
              <w:top w:val="dotted" w:sz="4" w:space="0" w:color="E6344B"/>
              <w:left w:val="nil"/>
              <w:bottom w:val="dotted" w:sz="4" w:space="0" w:color="E6344B"/>
              <w:right w:val="nil"/>
            </w:tcBorders>
            <w:shd w:val="clear" w:color="auto" w:fill="auto"/>
            <w:noWrap/>
            <w:vAlign w:val="center"/>
          </w:tcPr>
          <w:p w14:paraId="0B937125" w14:textId="7F477C55"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0,88%</w:t>
            </w:r>
          </w:p>
        </w:tc>
      </w:tr>
      <w:tr w:rsidR="005360B7" w:rsidRPr="00464587" w14:paraId="312FC989" w14:textId="77777777" w:rsidTr="00464587">
        <w:trPr>
          <w:trHeight w:val="283"/>
          <w:jc w:val="center"/>
        </w:trPr>
        <w:tc>
          <w:tcPr>
            <w:tcW w:w="3686" w:type="dxa"/>
            <w:tcBorders>
              <w:top w:val="nil"/>
              <w:left w:val="nil"/>
              <w:bottom w:val="nil"/>
              <w:right w:val="nil"/>
            </w:tcBorders>
            <w:shd w:val="clear" w:color="000000" w:fill="BB1823"/>
            <w:noWrap/>
            <w:vAlign w:val="center"/>
          </w:tcPr>
          <w:p w14:paraId="13DB0390" w14:textId="09042BD0" w:rsidR="005360B7" w:rsidRPr="00464587" w:rsidRDefault="005360B7" w:rsidP="005360B7">
            <w:pPr>
              <w:rPr>
                <w:rFonts w:eastAsia="Times New Roman" w:cs="Arial"/>
                <w:b/>
                <w:bCs/>
                <w:color w:val="FFFFFF"/>
                <w:sz w:val="18"/>
                <w:szCs w:val="18"/>
                <w:lang w:eastAsia="es-CL"/>
              </w:rPr>
            </w:pPr>
            <w:r w:rsidRPr="00464587">
              <w:rPr>
                <w:rFonts w:cs="Arial"/>
                <w:b/>
                <w:bCs/>
                <w:color w:val="FFFFFF"/>
                <w:sz w:val="18"/>
                <w:szCs w:val="18"/>
              </w:rPr>
              <w:t>Rentabilidad Total del Activo (%)</w:t>
            </w:r>
          </w:p>
        </w:tc>
        <w:tc>
          <w:tcPr>
            <w:tcW w:w="1020" w:type="dxa"/>
            <w:tcBorders>
              <w:top w:val="dotted" w:sz="4" w:space="0" w:color="E6344B"/>
              <w:left w:val="nil"/>
              <w:bottom w:val="dotted" w:sz="4" w:space="0" w:color="E6344B"/>
              <w:right w:val="nil"/>
            </w:tcBorders>
            <w:shd w:val="clear" w:color="auto" w:fill="auto"/>
            <w:noWrap/>
            <w:vAlign w:val="center"/>
          </w:tcPr>
          <w:p w14:paraId="54245EA3" w14:textId="7479CED9"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0,53%</w:t>
            </w:r>
          </w:p>
        </w:tc>
        <w:tc>
          <w:tcPr>
            <w:tcW w:w="1020" w:type="dxa"/>
            <w:tcBorders>
              <w:top w:val="dotted" w:sz="4" w:space="0" w:color="E6344B"/>
              <w:left w:val="nil"/>
              <w:bottom w:val="dotted" w:sz="4" w:space="0" w:color="E6344B"/>
              <w:right w:val="nil"/>
            </w:tcBorders>
            <w:shd w:val="clear" w:color="auto" w:fill="auto"/>
            <w:noWrap/>
            <w:vAlign w:val="center"/>
          </w:tcPr>
          <w:p w14:paraId="124F7D51" w14:textId="00015259"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2,04%</w:t>
            </w:r>
          </w:p>
        </w:tc>
        <w:tc>
          <w:tcPr>
            <w:tcW w:w="1020" w:type="dxa"/>
            <w:tcBorders>
              <w:top w:val="dotted" w:sz="4" w:space="0" w:color="E6344B"/>
              <w:left w:val="nil"/>
              <w:bottom w:val="dotted" w:sz="4" w:space="0" w:color="E6344B"/>
              <w:right w:val="nil"/>
            </w:tcBorders>
            <w:shd w:val="clear" w:color="auto" w:fill="auto"/>
            <w:noWrap/>
            <w:vAlign w:val="center"/>
          </w:tcPr>
          <w:p w14:paraId="0E8747B3" w14:textId="4DC0C905"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2,95%</w:t>
            </w:r>
          </w:p>
        </w:tc>
        <w:tc>
          <w:tcPr>
            <w:tcW w:w="1020" w:type="dxa"/>
            <w:tcBorders>
              <w:top w:val="dotted" w:sz="4" w:space="0" w:color="E6344B"/>
              <w:left w:val="nil"/>
              <w:bottom w:val="dotted" w:sz="4" w:space="0" w:color="E6344B"/>
              <w:right w:val="nil"/>
            </w:tcBorders>
            <w:shd w:val="clear" w:color="auto" w:fill="auto"/>
            <w:noWrap/>
            <w:vAlign w:val="center"/>
          </w:tcPr>
          <w:p w14:paraId="76D64523" w14:textId="77EC907E"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0,44%</w:t>
            </w:r>
          </w:p>
        </w:tc>
        <w:tc>
          <w:tcPr>
            <w:tcW w:w="1020" w:type="dxa"/>
            <w:tcBorders>
              <w:top w:val="dotted" w:sz="4" w:space="0" w:color="E6344B"/>
              <w:left w:val="nil"/>
              <w:bottom w:val="dotted" w:sz="4" w:space="0" w:color="E6344B"/>
              <w:right w:val="nil"/>
            </w:tcBorders>
            <w:shd w:val="clear" w:color="auto" w:fill="auto"/>
            <w:noWrap/>
            <w:vAlign w:val="center"/>
          </w:tcPr>
          <w:p w14:paraId="152748E0" w14:textId="49702B02"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0,97%</w:t>
            </w:r>
          </w:p>
        </w:tc>
        <w:tc>
          <w:tcPr>
            <w:tcW w:w="1020" w:type="dxa"/>
            <w:tcBorders>
              <w:top w:val="dotted" w:sz="4" w:space="0" w:color="E6344B"/>
              <w:left w:val="nil"/>
              <w:bottom w:val="dotted" w:sz="4" w:space="0" w:color="E6344B"/>
              <w:right w:val="nil"/>
            </w:tcBorders>
            <w:shd w:val="clear" w:color="auto" w:fill="auto"/>
            <w:noWrap/>
            <w:vAlign w:val="center"/>
          </w:tcPr>
          <w:p w14:paraId="1F238847" w14:textId="6F2EC1AB"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0,88%</w:t>
            </w:r>
          </w:p>
        </w:tc>
      </w:tr>
      <w:tr w:rsidR="005360B7" w:rsidRPr="00464587" w14:paraId="485E679B" w14:textId="77777777" w:rsidTr="00464587">
        <w:trPr>
          <w:trHeight w:val="283"/>
          <w:jc w:val="center"/>
        </w:trPr>
        <w:tc>
          <w:tcPr>
            <w:tcW w:w="3686" w:type="dxa"/>
            <w:tcBorders>
              <w:top w:val="nil"/>
              <w:left w:val="nil"/>
              <w:bottom w:val="nil"/>
              <w:right w:val="nil"/>
            </w:tcBorders>
            <w:shd w:val="clear" w:color="000000" w:fill="BB1823"/>
            <w:noWrap/>
            <w:vAlign w:val="center"/>
          </w:tcPr>
          <w:p w14:paraId="6DC0AE70" w14:textId="001170A1" w:rsidR="005360B7" w:rsidRPr="00464587" w:rsidRDefault="005360B7" w:rsidP="005360B7">
            <w:pPr>
              <w:rPr>
                <w:rFonts w:eastAsia="Times New Roman" w:cs="Arial"/>
                <w:b/>
                <w:bCs/>
                <w:color w:val="FFFFFF"/>
                <w:sz w:val="18"/>
                <w:szCs w:val="18"/>
                <w:lang w:eastAsia="es-CL"/>
              </w:rPr>
            </w:pPr>
            <w:r w:rsidRPr="00464587">
              <w:rPr>
                <w:rFonts w:cs="Arial"/>
                <w:b/>
                <w:bCs/>
                <w:color w:val="FFFFFF"/>
                <w:sz w:val="18"/>
                <w:szCs w:val="18"/>
              </w:rPr>
              <w:t>Inversión de Capital (%)</w:t>
            </w:r>
          </w:p>
        </w:tc>
        <w:tc>
          <w:tcPr>
            <w:tcW w:w="1020" w:type="dxa"/>
            <w:tcBorders>
              <w:top w:val="dotted" w:sz="4" w:space="0" w:color="E6344B"/>
              <w:left w:val="nil"/>
              <w:bottom w:val="dotted" w:sz="4" w:space="0" w:color="E6344B"/>
              <w:right w:val="nil"/>
            </w:tcBorders>
            <w:shd w:val="clear" w:color="auto" w:fill="auto"/>
            <w:noWrap/>
            <w:vAlign w:val="center"/>
          </w:tcPr>
          <w:p w14:paraId="13F0DDED" w14:textId="6FC8A412"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95,40%</w:t>
            </w:r>
          </w:p>
        </w:tc>
        <w:tc>
          <w:tcPr>
            <w:tcW w:w="1020" w:type="dxa"/>
            <w:tcBorders>
              <w:top w:val="dotted" w:sz="4" w:space="0" w:color="E6344B"/>
              <w:left w:val="nil"/>
              <w:bottom w:val="dotted" w:sz="4" w:space="0" w:color="E6344B"/>
              <w:right w:val="nil"/>
            </w:tcBorders>
            <w:shd w:val="clear" w:color="auto" w:fill="auto"/>
            <w:noWrap/>
            <w:vAlign w:val="center"/>
          </w:tcPr>
          <w:p w14:paraId="1A7E7B7B" w14:textId="7F4B368E"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74,55%</w:t>
            </w:r>
          </w:p>
        </w:tc>
        <w:tc>
          <w:tcPr>
            <w:tcW w:w="1020" w:type="dxa"/>
            <w:tcBorders>
              <w:top w:val="dotted" w:sz="4" w:space="0" w:color="E6344B"/>
              <w:left w:val="nil"/>
              <w:bottom w:val="dotted" w:sz="4" w:space="0" w:color="E6344B"/>
              <w:right w:val="nil"/>
            </w:tcBorders>
            <w:shd w:val="clear" w:color="auto" w:fill="auto"/>
            <w:noWrap/>
            <w:vAlign w:val="center"/>
          </w:tcPr>
          <w:p w14:paraId="0153E1DF" w14:textId="0378D4B5"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35,15%</w:t>
            </w:r>
          </w:p>
        </w:tc>
        <w:tc>
          <w:tcPr>
            <w:tcW w:w="1020" w:type="dxa"/>
            <w:tcBorders>
              <w:top w:val="dotted" w:sz="4" w:space="0" w:color="E6344B"/>
              <w:left w:val="nil"/>
              <w:bottom w:val="dotted" w:sz="4" w:space="0" w:color="E6344B"/>
              <w:right w:val="nil"/>
            </w:tcBorders>
            <w:shd w:val="clear" w:color="auto" w:fill="auto"/>
            <w:noWrap/>
            <w:vAlign w:val="center"/>
          </w:tcPr>
          <w:p w14:paraId="0A0CE6BB" w14:textId="4D84E59E"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34,35%</w:t>
            </w:r>
          </w:p>
        </w:tc>
        <w:tc>
          <w:tcPr>
            <w:tcW w:w="1020" w:type="dxa"/>
            <w:tcBorders>
              <w:top w:val="dotted" w:sz="4" w:space="0" w:color="E6344B"/>
              <w:left w:val="nil"/>
              <w:bottom w:val="dotted" w:sz="4" w:space="0" w:color="E6344B"/>
              <w:right w:val="nil"/>
            </w:tcBorders>
            <w:shd w:val="clear" w:color="auto" w:fill="auto"/>
            <w:noWrap/>
            <w:vAlign w:val="center"/>
          </w:tcPr>
          <w:p w14:paraId="2BFC48B0" w14:textId="7E69AB45"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43,57%</w:t>
            </w:r>
          </w:p>
        </w:tc>
        <w:tc>
          <w:tcPr>
            <w:tcW w:w="1020" w:type="dxa"/>
            <w:tcBorders>
              <w:top w:val="dotted" w:sz="4" w:space="0" w:color="E6344B"/>
              <w:left w:val="nil"/>
              <w:bottom w:val="dotted" w:sz="4" w:space="0" w:color="E6344B"/>
              <w:right w:val="nil"/>
            </w:tcBorders>
            <w:shd w:val="clear" w:color="auto" w:fill="auto"/>
            <w:noWrap/>
            <w:vAlign w:val="center"/>
          </w:tcPr>
          <w:p w14:paraId="087D421F" w14:textId="36DC8435"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47,97%</w:t>
            </w:r>
          </w:p>
        </w:tc>
      </w:tr>
      <w:tr w:rsidR="005360B7" w:rsidRPr="00464587" w14:paraId="6C7BA40F" w14:textId="77777777" w:rsidTr="00464587">
        <w:trPr>
          <w:trHeight w:val="283"/>
          <w:jc w:val="center"/>
        </w:trPr>
        <w:tc>
          <w:tcPr>
            <w:tcW w:w="3686" w:type="dxa"/>
            <w:tcBorders>
              <w:top w:val="nil"/>
              <w:left w:val="nil"/>
              <w:bottom w:val="nil"/>
              <w:right w:val="nil"/>
            </w:tcBorders>
            <w:shd w:val="clear" w:color="000000" w:fill="BB1823"/>
            <w:noWrap/>
            <w:vAlign w:val="center"/>
          </w:tcPr>
          <w:p w14:paraId="68B97A50" w14:textId="381A8E74" w:rsidR="005360B7" w:rsidRPr="00464587" w:rsidRDefault="005360B7" w:rsidP="005360B7">
            <w:pPr>
              <w:rPr>
                <w:rFonts w:eastAsia="Times New Roman" w:cs="Arial"/>
                <w:b/>
                <w:bCs/>
                <w:color w:val="FFFFFF"/>
                <w:sz w:val="18"/>
                <w:szCs w:val="18"/>
                <w:lang w:eastAsia="es-CL"/>
              </w:rPr>
            </w:pPr>
            <w:r w:rsidRPr="00464587">
              <w:rPr>
                <w:rFonts w:cs="Arial"/>
                <w:b/>
                <w:bCs/>
                <w:color w:val="FFFFFF"/>
                <w:sz w:val="18"/>
                <w:szCs w:val="18"/>
              </w:rPr>
              <w:t>Ingresos por Capital de Trabajo (veces)</w:t>
            </w:r>
          </w:p>
        </w:tc>
        <w:tc>
          <w:tcPr>
            <w:tcW w:w="1020" w:type="dxa"/>
            <w:tcBorders>
              <w:top w:val="dotted" w:sz="4" w:space="0" w:color="E6344B"/>
              <w:left w:val="nil"/>
              <w:bottom w:val="dotted" w:sz="4" w:space="0" w:color="E6344B"/>
              <w:right w:val="nil"/>
            </w:tcBorders>
            <w:shd w:val="clear" w:color="auto" w:fill="auto"/>
            <w:noWrap/>
            <w:vAlign w:val="center"/>
          </w:tcPr>
          <w:p w14:paraId="2E963EDB" w14:textId="2BCAB28A"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0,61</w:t>
            </w:r>
          </w:p>
        </w:tc>
        <w:tc>
          <w:tcPr>
            <w:tcW w:w="1020" w:type="dxa"/>
            <w:tcBorders>
              <w:top w:val="dotted" w:sz="4" w:space="0" w:color="E6344B"/>
              <w:left w:val="nil"/>
              <w:bottom w:val="dotted" w:sz="4" w:space="0" w:color="E6344B"/>
              <w:right w:val="nil"/>
            </w:tcBorders>
            <w:shd w:val="clear" w:color="auto" w:fill="auto"/>
            <w:noWrap/>
            <w:vAlign w:val="center"/>
          </w:tcPr>
          <w:p w14:paraId="54F631B2" w14:textId="424279F0"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0,53</w:t>
            </w:r>
          </w:p>
        </w:tc>
        <w:tc>
          <w:tcPr>
            <w:tcW w:w="1020" w:type="dxa"/>
            <w:tcBorders>
              <w:top w:val="dotted" w:sz="4" w:space="0" w:color="E6344B"/>
              <w:left w:val="nil"/>
              <w:bottom w:val="dotted" w:sz="4" w:space="0" w:color="E6344B"/>
              <w:right w:val="nil"/>
            </w:tcBorders>
            <w:shd w:val="clear" w:color="auto" w:fill="auto"/>
            <w:noWrap/>
            <w:vAlign w:val="center"/>
          </w:tcPr>
          <w:p w14:paraId="03DD6737" w14:textId="18B80A5A"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0,44</w:t>
            </w:r>
          </w:p>
        </w:tc>
        <w:tc>
          <w:tcPr>
            <w:tcW w:w="1020" w:type="dxa"/>
            <w:tcBorders>
              <w:top w:val="dotted" w:sz="4" w:space="0" w:color="E6344B"/>
              <w:left w:val="nil"/>
              <w:bottom w:val="dotted" w:sz="4" w:space="0" w:color="E6344B"/>
              <w:right w:val="nil"/>
            </w:tcBorders>
            <w:shd w:val="clear" w:color="auto" w:fill="auto"/>
            <w:noWrap/>
            <w:vAlign w:val="center"/>
          </w:tcPr>
          <w:p w14:paraId="5FCD4B85" w14:textId="14B2927F"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0,28</w:t>
            </w:r>
          </w:p>
        </w:tc>
        <w:tc>
          <w:tcPr>
            <w:tcW w:w="1020" w:type="dxa"/>
            <w:tcBorders>
              <w:top w:val="dotted" w:sz="4" w:space="0" w:color="E6344B"/>
              <w:left w:val="nil"/>
              <w:bottom w:val="dotted" w:sz="4" w:space="0" w:color="E6344B"/>
              <w:right w:val="nil"/>
            </w:tcBorders>
            <w:shd w:val="clear" w:color="auto" w:fill="auto"/>
            <w:noWrap/>
            <w:vAlign w:val="center"/>
          </w:tcPr>
          <w:p w14:paraId="61D72367" w14:textId="2F8B8849"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0,28</w:t>
            </w:r>
          </w:p>
        </w:tc>
        <w:tc>
          <w:tcPr>
            <w:tcW w:w="1020" w:type="dxa"/>
            <w:tcBorders>
              <w:top w:val="dotted" w:sz="4" w:space="0" w:color="E6344B"/>
              <w:left w:val="nil"/>
              <w:bottom w:val="dotted" w:sz="4" w:space="0" w:color="E6344B"/>
              <w:right w:val="nil"/>
            </w:tcBorders>
            <w:shd w:val="clear" w:color="auto" w:fill="auto"/>
            <w:noWrap/>
            <w:vAlign w:val="center"/>
          </w:tcPr>
          <w:p w14:paraId="15760A73" w14:textId="499431E6"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0,30</w:t>
            </w:r>
          </w:p>
        </w:tc>
      </w:tr>
      <w:tr w:rsidR="005360B7" w:rsidRPr="00464587" w14:paraId="36319832" w14:textId="77777777" w:rsidTr="00464587">
        <w:trPr>
          <w:trHeight w:val="283"/>
          <w:jc w:val="center"/>
        </w:trPr>
        <w:tc>
          <w:tcPr>
            <w:tcW w:w="3686" w:type="dxa"/>
            <w:tcBorders>
              <w:top w:val="nil"/>
              <w:left w:val="nil"/>
              <w:bottom w:val="nil"/>
              <w:right w:val="nil"/>
            </w:tcBorders>
            <w:shd w:val="clear" w:color="000000" w:fill="BB1823"/>
            <w:noWrap/>
            <w:vAlign w:val="center"/>
          </w:tcPr>
          <w:p w14:paraId="4EDEF068" w14:textId="6DD7DA4C" w:rsidR="005360B7" w:rsidRPr="00464587" w:rsidRDefault="005360B7" w:rsidP="005360B7">
            <w:pPr>
              <w:rPr>
                <w:rFonts w:eastAsia="Times New Roman" w:cs="Arial"/>
                <w:b/>
                <w:bCs/>
                <w:color w:val="FFFFFF"/>
                <w:sz w:val="18"/>
                <w:szCs w:val="18"/>
                <w:lang w:eastAsia="es-CL"/>
              </w:rPr>
            </w:pPr>
            <w:r w:rsidRPr="00464587">
              <w:rPr>
                <w:rFonts w:cs="Arial"/>
                <w:b/>
                <w:bCs/>
                <w:color w:val="FFFFFF"/>
                <w:sz w:val="18"/>
                <w:szCs w:val="18"/>
              </w:rPr>
              <w:t>Rentabilidad Operacional (%)</w:t>
            </w:r>
          </w:p>
        </w:tc>
        <w:tc>
          <w:tcPr>
            <w:tcW w:w="1020" w:type="dxa"/>
            <w:tcBorders>
              <w:top w:val="dotted" w:sz="4" w:space="0" w:color="E6344B"/>
              <w:left w:val="nil"/>
              <w:bottom w:val="dotted" w:sz="4" w:space="0" w:color="E6344B"/>
              <w:right w:val="nil"/>
            </w:tcBorders>
            <w:shd w:val="clear" w:color="auto" w:fill="auto"/>
            <w:noWrap/>
            <w:vAlign w:val="center"/>
          </w:tcPr>
          <w:p w14:paraId="59B9A431" w14:textId="167D8FEC"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14,72%</w:t>
            </w:r>
          </w:p>
        </w:tc>
        <w:tc>
          <w:tcPr>
            <w:tcW w:w="1020" w:type="dxa"/>
            <w:tcBorders>
              <w:top w:val="dotted" w:sz="4" w:space="0" w:color="E6344B"/>
              <w:left w:val="nil"/>
              <w:bottom w:val="dotted" w:sz="4" w:space="0" w:color="E6344B"/>
              <w:right w:val="nil"/>
            </w:tcBorders>
            <w:shd w:val="clear" w:color="auto" w:fill="auto"/>
            <w:noWrap/>
            <w:vAlign w:val="center"/>
          </w:tcPr>
          <w:p w14:paraId="41DCC08B" w14:textId="6A070123"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15,87%</w:t>
            </w:r>
          </w:p>
        </w:tc>
        <w:tc>
          <w:tcPr>
            <w:tcW w:w="1020" w:type="dxa"/>
            <w:tcBorders>
              <w:top w:val="dotted" w:sz="4" w:space="0" w:color="E6344B"/>
              <w:left w:val="nil"/>
              <w:bottom w:val="dotted" w:sz="4" w:space="0" w:color="E6344B"/>
              <w:right w:val="nil"/>
            </w:tcBorders>
            <w:shd w:val="clear" w:color="auto" w:fill="auto"/>
            <w:noWrap/>
            <w:vAlign w:val="center"/>
          </w:tcPr>
          <w:p w14:paraId="4CD37F0B" w14:textId="29C38298"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16,95%</w:t>
            </w:r>
          </w:p>
        </w:tc>
        <w:tc>
          <w:tcPr>
            <w:tcW w:w="1020" w:type="dxa"/>
            <w:tcBorders>
              <w:top w:val="dotted" w:sz="4" w:space="0" w:color="E6344B"/>
              <w:left w:val="nil"/>
              <w:bottom w:val="dotted" w:sz="4" w:space="0" w:color="E6344B"/>
              <w:right w:val="nil"/>
            </w:tcBorders>
            <w:shd w:val="clear" w:color="auto" w:fill="auto"/>
            <w:noWrap/>
            <w:vAlign w:val="center"/>
          </w:tcPr>
          <w:p w14:paraId="68BDAE12" w14:textId="4C75C3C1"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12,70%</w:t>
            </w:r>
          </w:p>
        </w:tc>
        <w:tc>
          <w:tcPr>
            <w:tcW w:w="1020" w:type="dxa"/>
            <w:tcBorders>
              <w:top w:val="dotted" w:sz="4" w:space="0" w:color="E6344B"/>
              <w:left w:val="nil"/>
              <w:bottom w:val="dotted" w:sz="4" w:space="0" w:color="E6344B"/>
              <w:right w:val="nil"/>
            </w:tcBorders>
            <w:shd w:val="clear" w:color="auto" w:fill="auto"/>
            <w:noWrap/>
            <w:vAlign w:val="center"/>
          </w:tcPr>
          <w:p w14:paraId="4FCBEA04" w14:textId="5CE3A857"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8,85%</w:t>
            </w:r>
          </w:p>
        </w:tc>
        <w:tc>
          <w:tcPr>
            <w:tcW w:w="1020" w:type="dxa"/>
            <w:tcBorders>
              <w:top w:val="dotted" w:sz="4" w:space="0" w:color="E6344B"/>
              <w:left w:val="nil"/>
              <w:bottom w:val="dotted" w:sz="4" w:space="0" w:color="E6344B"/>
              <w:right w:val="nil"/>
            </w:tcBorders>
            <w:shd w:val="clear" w:color="auto" w:fill="auto"/>
            <w:noWrap/>
            <w:vAlign w:val="center"/>
          </w:tcPr>
          <w:p w14:paraId="5CDD707F" w14:textId="24BDFAA8"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8,52%</w:t>
            </w:r>
          </w:p>
        </w:tc>
      </w:tr>
      <w:tr w:rsidR="005360B7" w:rsidRPr="00464587" w14:paraId="58A05ED6" w14:textId="77777777" w:rsidTr="00464587">
        <w:trPr>
          <w:trHeight w:val="283"/>
          <w:jc w:val="center"/>
        </w:trPr>
        <w:tc>
          <w:tcPr>
            <w:tcW w:w="3686" w:type="dxa"/>
            <w:tcBorders>
              <w:top w:val="nil"/>
              <w:left w:val="nil"/>
              <w:bottom w:val="nil"/>
              <w:right w:val="nil"/>
            </w:tcBorders>
            <w:shd w:val="clear" w:color="000000" w:fill="BB1823"/>
            <w:noWrap/>
            <w:vAlign w:val="center"/>
          </w:tcPr>
          <w:p w14:paraId="57371DD8" w14:textId="0CDE7B24" w:rsidR="005360B7" w:rsidRPr="00464587" w:rsidRDefault="005360B7" w:rsidP="005360B7">
            <w:pPr>
              <w:rPr>
                <w:rFonts w:eastAsia="Times New Roman" w:cs="Arial"/>
                <w:b/>
                <w:bCs/>
                <w:color w:val="FFFFFF"/>
                <w:sz w:val="18"/>
                <w:szCs w:val="18"/>
                <w:lang w:eastAsia="es-CL"/>
              </w:rPr>
            </w:pPr>
            <w:r w:rsidRPr="00464587">
              <w:rPr>
                <w:rFonts w:cs="Arial"/>
                <w:b/>
                <w:bCs/>
                <w:color w:val="FFFFFF"/>
                <w:sz w:val="18"/>
                <w:szCs w:val="18"/>
              </w:rPr>
              <w:t>Rentabilidad Sobre Patrimonio (%)</w:t>
            </w:r>
          </w:p>
        </w:tc>
        <w:tc>
          <w:tcPr>
            <w:tcW w:w="1020" w:type="dxa"/>
            <w:tcBorders>
              <w:top w:val="dotted" w:sz="4" w:space="0" w:color="E6344B"/>
              <w:left w:val="nil"/>
              <w:bottom w:val="dotted" w:sz="4" w:space="0" w:color="E6344B"/>
              <w:right w:val="nil"/>
            </w:tcBorders>
            <w:shd w:val="clear" w:color="auto" w:fill="auto"/>
            <w:noWrap/>
            <w:vAlign w:val="center"/>
          </w:tcPr>
          <w:p w14:paraId="7880BBAF" w14:textId="2745CBD6"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3,35%</w:t>
            </w:r>
          </w:p>
        </w:tc>
        <w:tc>
          <w:tcPr>
            <w:tcW w:w="1020" w:type="dxa"/>
            <w:tcBorders>
              <w:top w:val="dotted" w:sz="4" w:space="0" w:color="E6344B"/>
              <w:left w:val="nil"/>
              <w:bottom w:val="dotted" w:sz="4" w:space="0" w:color="E6344B"/>
              <w:right w:val="nil"/>
            </w:tcBorders>
            <w:shd w:val="clear" w:color="auto" w:fill="auto"/>
            <w:noWrap/>
            <w:vAlign w:val="center"/>
          </w:tcPr>
          <w:p w14:paraId="7DAD2F11" w14:textId="3BA98B30"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11,64%</w:t>
            </w:r>
          </w:p>
        </w:tc>
        <w:tc>
          <w:tcPr>
            <w:tcW w:w="1020" w:type="dxa"/>
            <w:tcBorders>
              <w:top w:val="dotted" w:sz="4" w:space="0" w:color="E6344B"/>
              <w:left w:val="nil"/>
              <w:bottom w:val="dotted" w:sz="4" w:space="0" w:color="E6344B"/>
              <w:right w:val="nil"/>
            </w:tcBorders>
            <w:shd w:val="clear" w:color="auto" w:fill="auto"/>
            <w:noWrap/>
            <w:vAlign w:val="center"/>
          </w:tcPr>
          <w:p w14:paraId="77F3A12C" w14:textId="724D7DFC"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14,65%</w:t>
            </w:r>
          </w:p>
        </w:tc>
        <w:tc>
          <w:tcPr>
            <w:tcW w:w="1020" w:type="dxa"/>
            <w:tcBorders>
              <w:top w:val="dotted" w:sz="4" w:space="0" w:color="E6344B"/>
              <w:left w:val="nil"/>
              <w:bottom w:val="dotted" w:sz="4" w:space="0" w:color="E6344B"/>
              <w:right w:val="nil"/>
            </w:tcBorders>
            <w:shd w:val="clear" w:color="auto" w:fill="auto"/>
            <w:noWrap/>
            <w:vAlign w:val="center"/>
          </w:tcPr>
          <w:p w14:paraId="587B1AE1" w14:textId="21E72CAD"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1,94%</w:t>
            </w:r>
          </w:p>
        </w:tc>
        <w:tc>
          <w:tcPr>
            <w:tcW w:w="1020" w:type="dxa"/>
            <w:tcBorders>
              <w:top w:val="dotted" w:sz="4" w:space="0" w:color="E6344B"/>
              <w:left w:val="nil"/>
              <w:bottom w:val="dotted" w:sz="4" w:space="0" w:color="E6344B"/>
              <w:right w:val="nil"/>
            </w:tcBorders>
            <w:shd w:val="clear" w:color="auto" w:fill="auto"/>
            <w:noWrap/>
            <w:vAlign w:val="center"/>
          </w:tcPr>
          <w:p w14:paraId="05C31A5C" w14:textId="3CA9B3B4"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3,50%</w:t>
            </w:r>
          </w:p>
        </w:tc>
        <w:tc>
          <w:tcPr>
            <w:tcW w:w="1020" w:type="dxa"/>
            <w:tcBorders>
              <w:top w:val="dotted" w:sz="4" w:space="0" w:color="E6344B"/>
              <w:left w:val="nil"/>
              <w:bottom w:val="dotted" w:sz="4" w:space="0" w:color="E6344B"/>
              <w:right w:val="nil"/>
            </w:tcBorders>
            <w:shd w:val="clear" w:color="auto" w:fill="auto"/>
            <w:noWrap/>
            <w:vAlign w:val="center"/>
          </w:tcPr>
          <w:p w14:paraId="28D6EF20" w14:textId="555FC579"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3,16%</w:t>
            </w:r>
          </w:p>
        </w:tc>
      </w:tr>
      <w:tr w:rsidR="005360B7" w:rsidRPr="00464587" w14:paraId="26479525" w14:textId="77777777" w:rsidTr="00464587">
        <w:trPr>
          <w:trHeight w:val="283"/>
          <w:jc w:val="center"/>
        </w:trPr>
        <w:tc>
          <w:tcPr>
            <w:tcW w:w="3686" w:type="dxa"/>
            <w:tcBorders>
              <w:top w:val="nil"/>
              <w:left w:val="nil"/>
              <w:bottom w:val="nil"/>
              <w:right w:val="nil"/>
            </w:tcBorders>
            <w:shd w:val="clear" w:color="000000" w:fill="BB1823"/>
            <w:noWrap/>
            <w:vAlign w:val="center"/>
          </w:tcPr>
          <w:p w14:paraId="5E51BBD3" w14:textId="4E26CC59" w:rsidR="005360B7" w:rsidRPr="00464587" w:rsidRDefault="005360B7" w:rsidP="005360B7">
            <w:pPr>
              <w:rPr>
                <w:rFonts w:eastAsia="Times New Roman" w:cs="Arial"/>
                <w:b/>
                <w:bCs/>
                <w:color w:val="FFFFFF"/>
                <w:sz w:val="18"/>
                <w:szCs w:val="18"/>
                <w:lang w:eastAsia="es-CL"/>
              </w:rPr>
            </w:pPr>
            <w:proofErr w:type="spellStart"/>
            <w:r w:rsidRPr="00464587">
              <w:rPr>
                <w:rFonts w:cs="Arial"/>
                <w:b/>
                <w:bCs/>
                <w:color w:val="FFFFFF"/>
                <w:sz w:val="18"/>
                <w:szCs w:val="18"/>
              </w:rPr>
              <w:t>Cto</w:t>
            </w:r>
            <w:proofErr w:type="spellEnd"/>
            <w:r w:rsidRPr="00464587">
              <w:rPr>
                <w:rFonts w:cs="Arial"/>
                <w:b/>
                <w:bCs/>
                <w:color w:val="FFFFFF"/>
                <w:sz w:val="18"/>
                <w:szCs w:val="18"/>
              </w:rPr>
              <w:t xml:space="preserve">. de </w:t>
            </w:r>
            <w:proofErr w:type="spellStart"/>
            <w:r w:rsidRPr="00464587">
              <w:rPr>
                <w:rFonts w:cs="Arial"/>
                <w:b/>
                <w:bCs/>
                <w:color w:val="FFFFFF"/>
                <w:sz w:val="18"/>
                <w:szCs w:val="18"/>
              </w:rPr>
              <w:t>Exp</w:t>
            </w:r>
            <w:proofErr w:type="spellEnd"/>
            <w:r w:rsidRPr="00464587">
              <w:rPr>
                <w:rFonts w:cs="Arial"/>
                <w:b/>
                <w:bCs/>
                <w:color w:val="FFFFFF"/>
                <w:sz w:val="18"/>
                <w:szCs w:val="18"/>
              </w:rPr>
              <w:t xml:space="preserve">. sobre Ing. de </w:t>
            </w:r>
            <w:proofErr w:type="spellStart"/>
            <w:r w:rsidRPr="00464587">
              <w:rPr>
                <w:rFonts w:cs="Arial"/>
                <w:b/>
                <w:bCs/>
                <w:color w:val="FFFFFF"/>
                <w:sz w:val="18"/>
                <w:szCs w:val="18"/>
              </w:rPr>
              <w:t>Exp</w:t>
            </w:r>
            <w:proofErr w:type="spellEnd"/>
            <w:r w:rsidRPr="00464587">
              <w:rPr>
                <w:rFonts w:cs="Arial"/>
                <w:b/>
                <w:bCs/>
                <w:color w:val="FFFFFF"/>
                <w:sz w:val="18"/>
                <w:szCs w:val="18"/>
              </w:rPr>
              <w:t>. (</w:t>
            </w:r>
            <w:proofErr w:type="spellStart"/>
            <w:r w:rsidRPr="00464587">
              <w:rPr>
                <w:rFonts w:cs="Arial"/>
                <w:b/>
                <w:bCs/>
                <w:color w:val="FFFFFF"/>
                <w:sz w:val="18"/>
                <w:szCs w:val="18"/>
              </w:rPr>
              <w:t>dep</w:t>
            </w:r>
            <w:proofErr w:type="spellEnd"/>
            <w:r w:rsidRPr="00464587">
              <w:rPr>
                <w:rFonts w:cs="Arial"/>
                <w:b/>
                <w:bCs/>
                <w:color w:val="FFFFFF"/>
                <w:sz w:val="18"/>
                <w:szCs w:val="18"/>
              </w:rPr>
              <w:t xml:space="preserve">. </w:t>
            </w:r>
            <w:proofErr w:type="spellStart"/>
            <w:r w:rsidRPr="00464587">
              <w:rPr>
                <w:rFonts w:cs="Arial"/>
                <w:b/>
                <w:bCs/>
                <w:color w:val="FFFFFF"/>
                <w:sz w:val="18"/>
                <w:szCs w:val="18"/>
              </w:rPr>
              <w:t>dsctada</w:t>
            </w:r>
            <w:proofErr w:type="spellEnd"/>
            <w:r w:rsidRPr="00464587">
              <w:rPr>
                <w:rFonts w:cs="Arial"/>
                <w:b/>
                <w:bCs/>
                <w:color w:val="FFFFFF"/>
                <w:sz w:val="18"/>
                <w:szCs w:val="18"/>
              </w:rPr>
              <w:t>.) (%)</w:t>
            </w:r>
          </w:p>
        </w:tc>
        <w:tc>
          <w:tcPr>
            <w:tcW w:w="1020" w:type="dxa"/>
            <w:tcBorders>
              <w:top w:val="dotted" w:sz="4" w:space="0" w:color="E6344B"/>
              <w:left w:val="nil"/>
              <w:bottom w:val="dotted" w:sz="4" w:space="0" w:color="E6344B"/>
              <w:right w:val="nil"/>
            </w:tcBorders>
            <w:shd w:val="clear" w:color="auto" w:fill="auto"/>
            <w:noWrap/>
            <w:vAlign w:val="center"/>
          </w:tcPr>
          <w:p w14:paraId="009F688B" w14:textId="56279EED"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0,65%</w:t>
            </w:r>
          </w:p>
        </w:tc>
        <w:tc>
          <w:tcPr>
            <w:tcW w:w="1020" w:type="dxa"/>
            <w:tcBorders>
              <w:top w:val="dotted" w:sz="4" w:space="0" w:color="E6344B"/>
              <w:left w:val="nil"/>
              <w:bottom w:val="dotted" w:sz="4" w:space="0" w:color="E6344B"/>
              <w:right w:val="nil"/>
            </w:tcBorders>
            <w:shd w:val="clear" w:color="auto" w:fill="auto"/>
            <w:noWrap/>
            <w:vAlign w:val="center"/>
          </w:tcPr>
          <w:p w14:paraId="7E7A5CA2" w14:textId="4908E07C"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0,41%</w:t>
            </w:r>
          </w:p>
        </w:tc>
        <w:tc>
          <w:tcPr>
            <w:tcW w:w="1020" w:type="dxa"/>
            <w:tcBorders>
              <w:top w:val="dotted" w:sz="4" w:space="0" w:color="E6344B"/>
              <w:left w:val="nil"/>
              <w:bottom w:val="dotted" w:sz="4" w:space="0" w:color="E6344B"/>
              <w:right w:val="nil"/>
            </w:tcBorders>
            <w:shd w:val="clear" w:color="auto" w:fill="auto"/>
            <w:noWrap/>
            <w:vAlign w:val="center"/>
          </w:tcPr>
          <w:p w14:paraId="37409F46" w14:textId="7498CE95"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0,21%</w:t>
            </w:r>
          </w:p>
        </w:tc>
        <w:tc>
          <w:tcPr>
            <w:tcW w:w="1020" w:type="dxa"/>
            <w:tcBorders>
              <w:top w:val="dotted" w:sz="4" w:space="0" w:color="E6344B"/>
              <w:left w:val="nil"/>
              <w:bottom w:val="dotted" w:sz="4" w:space="0" w:color="E6344B"/>
              <w:right w:val="nil"/>
            </w:tcBorders>
            <w:shd w:val="clear" w:color="auto" w:fill="auto"/>
            <w:noWrap/>
            <w:vAlign w:val="center"/>
          </w:tcPr>
          <w:p w14:paraId="452B1F84" w14:textId="253A2CA8"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0,00%</w:t>
            </w:r>
          </w:p>
        </w:tc>
        <w:tc>
          <w:tcPr>
            <w:tcW w:w="1020" w:type="dxa"/>
            <w:tcBorders>
              <w:top w:val="dotted" w:sz="4" w:space="0" w:color="E6344B"/>
              <w:left w:val="nil"/>
              <w:bottom w:val="dotted" w:sz="4" w:space="0" w:color="E6344B"/>
              <w:right w:val="nil"/>
            </w:tcBorders>
            <w:shd w:val="clear" w:color="auto" w:fill="auto"/>
            <w:noWrap/>
            <w:vAlign w:val="center"/>
          </w:tcPr>
          <w:p w14:paraId="2264D1B0" w14:textId="43CFECB1"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0,00%</w:t>
            </w:r>
          </w:p>
        </w:tc>
        <w:tc>
          <w:tcPr>
            <w:tcW w:w="1020" w:type="dxa"/>
            <w:tcBorders>
              <w:top w:val="dotted" w:sz="4" w:space="0" w:color="E6344B"/>
              <w:left w:val="nil"/>
              <w:bottom w:val="dotted" w:sz="4" w:space="0" w:color="E6344B"/>
              <w:right w:val="nil"/>
            </w:tcBorders>
            <w:shd w:val="clear" w:color="auto" w:fill="auto"/>
            <w:noWrap/>
            <w:vAlign w:val="center"/>
          </w:tcPr>
          <w:p w14:paraId="10CD1266" w14:textId="1AB81CF7"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0,00%</w:t>
            </w:r>
          </w:p>
        </w:tc>
      </w:tr>
      <w:tr w:rsidR="005360B7" w:rsidRPr="00464587" w14:paraId="26942A89" w14:textId="77777777" w:rsidTr="00464587">
        <w:trPr>
          <w:trHeight w:val="283"/>
          <w:jc w:val="center"/>
        </w:trPr>
        <w:tc>
          <w:tcPr>
            <w:tcW w:w="3686" w:type="dxa"/>
            <w:tcBorders>
              <w:top w:val="nil"/>
              <w:left w:val="nil"/>
              <w:bottom w:val="nil"/>
              <w:right w:val="nil"/>
            </w:tcBorders>
            <w:shd w:val="clear" w:color="000000" w:fill="BB1823"/>
            <w:noWrap/>
            <w:vAlign w:val="center"/>
          </w:tcPr>
          <w:p w14:paraId="233167DD" w14:textId="417A5BFB" w:rsidR="005360B7" w:rsidRPr="00464587" w:rsidRDefault="005360B7" w:rsidP="005360B7">
            <w:pPr>
              <w:rPr>
                <w:rFonts w:eastAsia="Times New Roman" w:cs="Arial"/>
                <w:b/>
                <w:bCs/>
                <w:color w:val="FFFFFF"/>
                <w:sz w:val="18"/>
                <w:szCs w:val="18"/>
                <w:lang w:eastAsia="es-CL"/>
              </w:rPr>
            </w:pPr>
            <w:proofErr w:type="spellStart"/>
            <w:r w:rsidRPr="00464587">
              <w:rPr>
                <w:rFonts w:cs="Arial"/>
                <w:b/>
                <w:bCs/>
                <w:color w:val="FFFFFF"/>
                <w:sz w:val="18"/>
                <w:szCs w:val="18"/>
              </w:rPr>
              <w:t>Cto</w:t>
            </w:r>
            <w:proofErr w:type="spellEnd"/>
            <w:r w:rsidRPr="00464587">
              <w:rPr>
                <w:rFonts w:cs="Arial"/>
                <w:b/>
                <w:bCs/>
                <w:color w:val="FFFFFF"/>
                <w:sz w:val="18"/>
                <w:szCs w:val="18"/>
              </w:rPr>
              <w:t xml:space="preserve">. de </w:t>
            </w:r>
            <w:proofErr w:type="spellStart"/>
            <w:r w:rsidRPr="00464587">
              <w:rPr>
                <w:rFonts w:cs="Arial"/>
                <w:b/>
                <w:bCs/>
                <w:color w:val="FFFFFF"/>
                <w:sz w:val="18"/>
                <w:szCs w:val="18"/>
              </w:rPr>
              <w:t>Exp</w:t>
            </w:r>
            <w:proofErr w:type="spellEnd"/>
            <w:r w:rsidRPr="00464587">
              <w:rPr>
                <w:rFonts w:cs="Arial"/>
                <w:b/>
                <w:bCs/>
                <w:color w:val="FFFFFF"/>
                <w:sz w:val="18"/>
                <w:szCs w:val="18"/>
              </w:rPr>
              <w:t xml:space="preserve">. sobre Ing. de </w:t>
            </w:r>
            <w:proofErr w:type="spellStart"/>
            <w:r w:rsidRPr="00464587">
              <w:rPr>
                <w:rFonts w:cs="Arial"/>
                <w:b/>
                <w:bCs/>
                <w:color w:val="FFFFFF"/>
                <w:sz w:val="18"/>
                <w:szCs w:val="18"/>
              </w:rPr>
              <w:t>Exp</w:t>
            </w:r>
            <w:proofErr w:type="spellEnd"/>
            <w:r w:rsidRPr="00464587">
              <w:rPr>
                <w:rFonts w:cs="Arial"/>
                <w:b/>
                <w:bCs/>
                <w:color w:val="FFFFFF"/>
                <w:sz w:val="18"/>
                <w:szCs w:val="18"/>
              </w:rPr>
              <w:t>. (</w:t>
            </w:r>
            <w:proofErr w:type="spellStart"/>
            <w:r w:rsidRPr="00464587">
              <w:rPr>
                <w:rFonts w:cs="Arial"/>
                <w:b/>
                <w:bCs/>
                <w:color w:val="FFFFFF"/>
                <w:sz w:val="18"/>
                <w:szCs w:val="18"/>
              </w:rPr>
              <w:t>dep</w:t>
            </w:r>
            <w:proofErr w:type="spellEnd"/>
            <w:r w:rsidRPr="00464587">
              <w:rPr>
                <w:rFonts w:cs="Arial"/>
                <w:b/>
                <w:bCs/>
                <w:color w:val="FFFFFF"/>
                <w:sz w:val="18"/>
                <w:szCs w:val="18"/>
              </w:rPr>
              <w:t xml:space="preserve">. sin </w:t>
            </w:r>
            <w:proofErr w:type="spellStart"/>
            <w:r w:rsidRPr="00464587">
              <w:rPr>
                <w:rFonts w:cs="Arial"/>
                <w:b/>
                <w:bCs/>
                <w:color w:val="FFFFFF"/>
                <w:sz w:val="18"/>
                <w:szCs w:val="18"/>
              </w:rPr>
              <w:t>dsctar</w:t>
            </w:r>
            <w:proofErr w:type="spellEnd"/>
            <w:r w:rsidRPr="00464587">
              <w:rPr>
                <w:rFonts w:cs="Arial"/>
                <w:b/>
                <w:bCs/>
                <w:color w:val="FFFFFF"/>
                <w:sz w:val="18"/>
                <w:szCs w:val="18"/>
              </w:rPr>
              <w:t>.) (%)</w:t>
            </w:r>
          </w:p>
        </w:tc>
        <w:tc>
          <w:tcPr>
            <w:tcW w:w="1020" w:type="dxa"/>
            <w:tcBorders>
              <w:top w:val="dotted" w:sz="4" w:space="0" w:color="E6344B"/>
              <w:left w:val="nil"/>
              <w:bottom w:val="dotted" w:sz="4" w:space="0" w:color="E6344B"/>
              <w:right w:val="nil"/>
            </w:tcBorders>
            <w:shd w:val="clear" w:color="auto" w:fill="auto"/>
            <w:noWrap/>
            <w:vAlign w:val="center"/>
          </w:tcPr>
          <w:p w14:paraId="396A3E56" w14:textId="243C0154"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7,28%</w:t>
            </w:r>
          </w:p>
        </w:tc>
        <w:tc>
          <w:tcPr>
            <w:tcW w:w="1020" w:type="dxa"/>
            <w:tcBorders>
              <w:top w:val="dotted" w:sz="4" w:space="0" w:color="E6344B"/>
              <w:left w:val="nil"/>
              <w:bottom w:val="dotted" w:sz="4" w:space="0" w:color="E6344B"/>
              <w:right w:val="nil"/>
            </w:tcBorders>
            <w:shd w:val="clear" w:color="auto" w:fill="auto"/>
            <w:noWrap/>
            <w:vAlign w:val="center"/>
          </w:tcPr>
          <w:p w14:paraId="3BE633CC" w14:textId="2D0BC5F0"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7,66%</w:t>
            </w:r>
          </w:p>
        </w:tc>
        <w:tc>
          <w:tcPr>
            <w:tcW w:w="1020" w:type="dxa"/>
            <w:tcBorders>
              <w:top w:val="dotted" w:sz="4" w:space="0" w:color="E6344B"/>
              <w:left w:val="nil"/>
              <w:bottom w:val="dotted" w:sz="4" w:space="0" w:color="E6344B"/>
              <w:right w:val="nil"/>
            </w:tcBorders>
            <w:shd w:val="clear" w:color="auto" w:fill="auto"/>
            <w:noWrap/>
            <w:vAlign w:val="center"/>
          </w:tcPr>
          <w:p w14:paraId="095DE8B0" w14:textId="37B55A89"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8,42%</w:t>
            </w:r>
          </w:p>
        </w:tc>
        <w:tc>
          <w:tcPr>
            <w:tcW w:w="1020" w:type="dxa"/>
            <w:tcBorders>
              <w:top w:val="dotted" w:sz="4" w:space="0" w:color="E6344B"/>
              <w:left w:val="nil"/>
              <w:bottom w:val="dotted" w:sz="4" w:space="0" w:color="E6344B"/>
              <w:right w:val="nil"/>
            </w:tcBorders>
            <w:shd w:val="clear" w:color="auto" w:fill="auto"/>
            <w:noWrap/>
            <w:vAlign w:val="center"/>
          </w:tcPr>
          <w:p w14:paraId="72B457AA" w14:textId="435F0526"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9,38%</w:t>
            </w:r>
          </w:p>
        </w:tc>
        <w:tc>
          <w:tcPr>
            <w:tcW w:w="1020" w:type="dxa"/>
            <w:tcBorders>
              <w:top w:val="dotted" w:sz="4" w:space="0" w:color="E6344B"/>
              <w:left w:val="nil"/>
              <w:bottom w:val="dotted" w:sz="4" w:space="0" w:color="E6344B"/>
              <w:right w:val="nil"/>
            </w:tcBorders>
            <w:shd w:val="clear" w:color="auto" w:fill="auto"/>
            <w:noWrap/>
            <w:vAlign w:val="center"/>
          </w:tcPr>
          <w:p w14:paraId="0B9409A6" w14:textId="2F55524E"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10,57%</w:t>
            </w:r>
          </w:p>
        </w:tc>
        <w:tc>
          <w:tcPr>
            <w:tcW w:w="1020" w:type="dxa"/>
            <w:tcBorders>
              <w:top w:val="dotted" w:sz="4" w:space="0" w:color="E6344B"/>
              <w:left w:val="nil"/>
              <w:bottom w:val="dotted" w:sz="4" w:space="0" w:color="E6344B"/>
              <w:right w:val="nil"/>
            </w:tcBorders>
            <w:shd w:val="clear" w:color="auto" w:fill="auto"/>
            <w:noWrap/>
            <w:vAlign w:val="center"/>
          </w:tcPr>
          <w:p w14:paraId="4942E691" w14:textId="77434975"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10,32%</w:t>
            </w:r>
          </w:p>
        </w:tc>
      </w:tr>
      <w:tr w:rsidR="005360B7" w:rsidRPr="00464587" w14:paraId="47524FB3" w14:textId="77777777" w:rsidTr="00464587">
        <w:trPr>
          <w:trHeight w:val="283"/>
          <w:jc w:val="center"/>
        </w:trPr>
        <w:tc>
          <w:tcPr>
            <w:tcW w:w="3686" w:type="dxa"/>
            <w:tcBorders>
              <w:top w:val="nil"/>
              <w:left w:val="nil"/>
              <w:bottom w:val="nil"/>
              <w:right w:val="nil"/>
            </w:tcBorders>
            <w:shd w:val="clear" w:color="000000" w:fill="BB1823"/>
            <w:noWrap/>
            <w:vAlign w:val="center"/>
          </w:tcPr>
          <w:p w14:paraId="1D3085CA" w14:textId="0E278A5F" w:rsidR="005360B7" w:rsidRPr="00464587" w:rsidRDefault="005360B7" w:rsidP="005360B7">
            <w:pPr>
              <w:rPr>
                <w:rFonts w:eastAsia="Times New Roman" w:cs="Arial"/>
                <w:b/>
                <w:bCs/>
                <w:color w:val="FFFFFF"/>
                <w:sz w:val="18"/>
                <w:szCs w:val="18"/>
                <w:lang w:eastAsia="es-CL"/>
              </w:rPr>
            </w:pPr>
            <w:proofErr w:type="spellStart"/>
            <w:r w:rsidRPr="00464587">
              <w:rPr>
                <w:rFonts w:cs="Arial"/>
                <w:b/>
                <w:bCs/>
                <w:color w:val="FFFFFF"/>
                <w:sz w:val="18"/>
                <w:szCs w:val="18"/>
              </w:rPr>
              <w:t>Gtos</w:t>
            </w:r>
            <w:proofErr w:type="spellEnd"/>
            <w:r w:rsidRPr="00464587">
              <w:rPr>
                <w:rFonts w:cs="Arial"/>
                <w:b/>
                <w:bCs/>
                <w:color w:val="FFFFFF"/>
                <w:sz w:val="18"/>
                <w:szCs w:val="18"/>
              </w:rPr>
              <w:t xml:space="preserve">. </w:t>
            </w:r>
            <w:proofErr w:type="spellStart"/>
            <w:r w:rsidRPr="00464587">
              <w:rPr>
                <w:rFonts w:cs="Arial"/>
                <w:b/>
                <w:bCs/>
                <w:color w:val="FFFFFF"/>
                <w:sz w:val="18"/>
                <w:szCs w:val="18"/>
              </w:rPr>
              <w:t>Adm</w:t>
            </w:r>
            <w:proofErr w:type="spellEnd"/>
            <w:r w:rsidRPr="00464587">
              <w:rPr>
                <w:rFonts w:cs="Arial"/>
                <w:b/>
                <w:bCs/>
                <w:color w:val="FFFFFF"/>
                <w:sz w:val="18"/>
                <w:szCs w:val="18"/>
              </w:rPr>
              <w:t xml:space="preserve">. y Vta. sobre Ing. de </w:t>
            </w:r>
            <w:proofErr w:type="spellStart"/>
            <w:r w:rsidRPr="00464587">
              <w:rPr>
                <w:rFonts w:cs="Arial"/>
                <w:b/>
                <w:bCs/>
                <w:color w:val="FFFFFF"/>
                <w:sz w:val="18"/>
                <w:szCs w:val="18"/>
              </w:rPr>
              <w:t>Exp</w:t>
            </w:r>
            <w:proofErr w:type="spellEnd"/>
            <w:r w:rsidRPr="00464587">
              <w:rPr>
                <w:rFonts w:cs="Arial"/>
                <w:b/>
                <w:bCs/>
                <w:color w:val="FFFFFF"/>
                <w:sz w:val="18"/>
                <w:szCs w:val="18"/>
              </w:rPr>
              <w:t>. (%)</w:t>
            </w:r>
          </w:p>
        </w:tc>
        <w:tc>
          <w:tcPr>
            <w:tcW w:w="1020" w:type="dxa"/>
            <w:tcBorders>
              <w:top w:val="dotted" w:sz="4" w:space="0" w:color="E6344B"/>
              <w:left w:val="nil"/>
              <w:bottom w:val="dotted" w:sz="4" w:space="0" w:color="E6344B"/>
              <w:right w:val="nil"/>
            </w:tcBorders>
            <w:shd w:val="clear" w:color="auto" w:fill="auto"/>
            <w:noWrap/>
            <w:vAlign w:val="center"/>
          </w:tcPr>
          <w:p w14:paraId="69895CD0" w14:textId="6B660683"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36,92%</w:t>
            </w:r>
          </w:p>
        </w:tc>
        <w:tc>
          <w:tcPr>
            <w:tcW w:w="1020" w:type="dxa"/>
            <w:tcBorders>
              <w:top w:val="dotted" w:sz="4" w:space="0" w:color="E6344B"/>
              <w:left w:val="nil"/>
              <w:bottom w:val="dotted" w:sz="4" w:space="0" w:color="E6344B"/>
              <w:right w:val="nil"/>
            </w:tcBorders>
            <w:shd w:val="clear" w:color="auto" w:fill="auto"/>
            <w:noWrap/>
            <w:vAlign w:val="center"/>
          </w:tcPr>
          <w:p w14:paraId="55BA8DE0" w14:textId="4414B6EB"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37,99%</w:t>
            </w:r>
          </w:p>
        </w:tc>
        <w:tc>
          <w:tcPr>
            <w:tcW w:w="1020" w:type="dxa"/>
            <w:tcBorders>
              <w:top w:val="dotted" w:sz="4" w:space="0" w:color="E6344B"/>
              <w:left w:val="nil"/>
              <w:bottom w:val="dotted" w:sz="4" w:space="0" w:color="E6344B"/>
              <w:right w:val="nil"/>
            </w:tcBorders>
            <w:shd w:val="clear" w:color="auto" w:fill="auto"/>
            <w:noWrap/>
            <w:vAlign w:val="center"/>
          </w:tcPr>
          <w:p w14:paraId="70E19CF1" w14:textId="69BA1B6D"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34,52%</w:t>
            </w:r>
          </w:p>
        </w:tc>
        <w:tc>
          <w:tcPr>
            <w:tcW w:w="1020" w:type="dxa"/>
            <w:tcBorders>
              <w:top w:val="dotted" w:sz="4" w:space="0" w:color="E6344B"/>
              <w:left w:val="nil"/>
              <w:bottom w:val="dotted" w:sz="4" w:space="0" w:color="E6344B"/>
              <w:right w:val="nil"/>
            </w:tcBorders>
            <w:shd w:val="clear" w:color="auto" w:fill="auto"/>
            <w:noWrap/>
            <w:vAlign w:val="center"/>
          </w:tcPr>
          <w:p w14:paraId="1A4ED033" w14:textId="23BB1E6F"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34,68%</w:t>
            </w:r>
          </w:p>
        </w:tc>
        <w:tc>
          <w:tcPr>
            <w:tcW w:w="1020" w:type="dxa"/>
            <w:tcBorders>
              <w:top w:val="dotted" w:sz="4" w:space="0" w:color="E6344B"/>
              <w:left w:val="nil"/>
              <w:bottom w:val="dotted" w:sz="4" w:space="0" w:color="E6344B"/>
              <w:right w:val="nil"/>
            </w:tcBorders>
            <w:shd w:val="clear" w:color="auto" w:fill="auto"/>
            <w:noWrap/>
            <w:vAlign w:val="center"/>
          </w:tcPr>
          <w:p w14:paraId="5C95F7BD" w14:textId="5C8B4923"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38,51%</w:t>
            </w:r>
          </w:p>
        </w:tc>
        <w:tc>
          <w:tcPr>
            <w:tcW w:w="1020" w:type="dxa"/>
            <w:tcBorders>
              <w:top w:val="dotted" w:sz="4" w:space="0" w:color="E6344B"/>
              <w:left w:val="nil"/>
              <w:bottom w:val="dotted" w:sz="4" w:space="0" w:color="E6344B"/>
              <w:right w:val="nil"/>
            </w:tcBorders>
            <w:shd w:val="clear" w:color="auto" w:fill="auto"/>
            <w:noWrap/>
            <w:vAlign w:val="center"/>
          </w:tcPr>
          <w:p w14:paraId="004DE4E2" w14:textId="6681A21F"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38,82%</w:t>
            </w:r>
          </w:p>
        </w:tc>
      </w:tr>
      <w:tr w:rsidR="005360B7" w:rsidRPr="00464587" w14:paraId="482B9308" w14:textId="77777777" w:rsidTr="00464587">
        <w:trPr>
          <w:trHeight w:val="283"/>
          <w:jc w:val="center"/>
        </w:trPr>
        <w:tc>
          <w:tcPr>
            <w:tcW w:w="3686" w:type="dxa"/>
            <w:tcBorders>
              <w:top w:val="nil"/>
              <w:left w:val="nil"/>
              <w:bottom w:val="nil"/>
              <w:right w:val="nil"/>
            </w:tcBorders>
            <w:shd w:val="clear" w:color="000000" w:fill="BB1823"/>
            <w:noWrap/>
            <w:vAlign w:val="center"/>
          </w:tcPr>
          <w:p w14:paraId="3BC85634" w14:textId="1DF41E5A" w:rsidR="005360B7" w:rsidRPr="00464587" w:rsidRDefault="005360B7" w:rsidP="005360B7">
            <w:pPr>
              <w:rPr>
                <w:rFonts w:eastAsia="Times New Roman" w:cs="Arial"/>
                <w:b/>
                <w:bCs/>
                <w:color w:val="FFFFFF"/>
                <w:sz w:val="18"/>
                <w:szCs w:val="18"/>
                <w:lang w:val="en-US" w:eastAsia="es-CL"/>
              </w:rPr>
            </w:pPr>
            <w:r w:rsidRPr="00464587">
              <w:rPr>
                <w:rFonts w:cs="Arial"/>
                <w:b/>
                <w:bCs/>
                <w:color w:val="FFFFFF"/>
                <w:sz w:val="18"/>
                <w:szCs w:val="18"/>
                <w:lang w:val="en-US"/>
              </w:rPr>
              <w:t>ROCE (Return Over Capital Employed) (%)</w:t>
            </w:r>
          </w:p>
        </w:tc>
        <w:tc>
          <w:tcPr>
            <w:tcW w:w="1020" w:type="dxa"/>
            <w:tcBorders>
              <w:top w:val="dotted" w:sz="4" w:space="0" w:color="E6344B"/>
              <w:left w:val="nil"/>
              <w:bottom w:val="dotted" w:sz="4" w:space="0" w:color="E6344B"/>
              <w:right w:val="nil"/>
            </w:tcBorders>
            <w:shd w:val="clear" w:color="auto" w:fill="auto"/>
            <w:noWrap/>
            <w:vAlign w:val="center"/>
          </w:tcPr>
          <w:p w14:paraId="0F9FD865" w14:textId="16357A5F" w:rsidR="005360B7" w:rsidRPr="00464587" w:rsidRDefault="005360B7" w:rsidP="005360B7">
            <w:pPr>
              <w:jc w:val="center"/>
              <w:rPr>
                <w:rFonts w:eastAsia="Times New Roman" w:cs="Arial"/>
                <w:color w:val="333D6B"/>
                <w:sz w:val="18"/>
                <w:szCs w:val="18"/>
                <w:lang w:val="en-US" w:eastAsia="es-CL"/>
              </w:rPr>
            </w:pPr>
            <w:r w:rsidRPr="00464587">
              <w:rPr>
                <w:rFonts w:cs="Arial"/>
                <w:color w:val="333D6B"/>
                <w:sz w:val="18"/>
                <w:szCs w:val="18"/>
              </w:rPr>
              <w:t>53,21%</w:t>
            </w:r>
          </w:p>
        </w:tc>
        <w:tc>
          <w:tcPr>
            <w:tcW w:w="1020" w:type="dxa"/>
            <w:tcBorders>
              <w:top w:val="dotted" w:sz="4" w:space="0" w:color="E6344B"/>
              <w:left w:val="nil"/>
              <w:bottom w:val="dotted" w:sz="4" w:space="0" w:color="E6344B"/>
              <w:right w:val="nil"/>
            </w:tcBorders>
            <w:shd w:val="clear" w:color="auto" w:fill="auto"/>
            <w:noWrap/>
            <w:vAlign w:val="center"/>
          </w:tcPr>
          <w:p w14:paraId="023D4375" w14:textId="1CA452B3" w:rsidR="005360B7" w:rsidRPr="00464587" w:rsidRDefault="005360B7" w:rsidP="005360B7">
            <w:pPr>
              <w:jc w:val="center"/>
              <w:rPr>
                <w:rFonts w:eastAsia="Times New Roman" w:cs="Arial"/>
                <w:color w:val="333D6B"/>
                <w:sz w:val="18"/>
                <w:szCs w:val="18"/>
                <w:lang w:val="en-US" w:eastAsia="es-CL"/>
              </w:rPr>
            </w:pPr>
            <w:r w:rsidRPr="00464587">
              <w:rPr>
                <w:rFonts w:cs="Arial"/>
                <w:color w:val="333D6B"/>
                <w:sz w:val="18"/>
                <w:szCs w:val="18"/>
              </w:rPr>
              <w:t>51,36%</w:t>
            </w:r>
          </w:p>
        </w:tc>
        <w:tc>
          <w:tcPr>
            <w:tcW w:w="1020" w:type="dxa"/>
            <w:tcBorders>
              <w:top w:val="dotted" w:sz="4" w:space="0" w:color="E6344B"/>
              <w:left w:val="nil"/>
              <w:bottom w:val="dotted" w:sz="4" w:space="0" w:color="E6344B"/>
              <w:right w:val="nil"/>
            </w:tcBorders>
            <w:shd w:val="clear" w:color="auto" w:fill="auto"/>
            <w:noWrap/>
            <w:vAlign w:val="center"/>
          </w:tcPr>
          <w:p w14:paraId="03518BCA" w14:textId="67055BBE" w:rsidR="005360B7" w:rsidRPr="00464587" w:rsidRDefault="005360B7" w:rsidP="005360B7">
            <w:pPr>
              <w:jc w:val="center"/>
              <w:rPr>
                <w:rFonts w:eastAsia="Times New Roman" w:cs="Arial"/>
                <w:color w:val="333D6B"/>
                <w:sz w:val="18"/>
                <w:szCs w:val="18"/>
                <w:lang w:val="en-US" w:eastAsia="es-CL"/>
              </w:rPr>
            </w:pPr>
            <w:r w:rsidRPr="00464587">
              <w:rPr>
                <w:rFonts w:cs="Arial"/>
                <w:color w:val="333D6B"/>
                <w:sz w:val="18"/>
                <w:szCs w:val="18"/>
              </w:rPr>
              <w:t>46,98%</w:t>
            </w:r>
          </w:p>
        </w:tc>
        <w:tc>
          <w:tcPr>
            <w:tcW w:w="1020" w:type="dxa"/>
            <w:tcBorders>
              <w:top w:val="dotted" w:sz="4" w:space="0" w:color="E6344B"/>
              <w:left w:val="nil"/>
              <w:bottom w:val="dotted" w:sz="4" w:space="0" w:color="E6344B"/>
              <w:right w:val="nil"/>
            </w:tcBorders>
            <w:shd w:val="clear" w:color="auto" w:fill="auto"/>
            <w:noWrap/>
            <w:vAlign w:val="center"/>
          </w:tcPr>
          <w:p w14:paraId="6A6C8545" w14:textId="539D6323" w:rsidR="005360B7" w:rsidRPr="00464587" w:rsidRDefault="005360B7" w:rsidP="005360B7">
            <w:pPr>
              <w:jc w:val="center"/>
              <w:rPr>
                <w:rFonts w:eastAsia="Times New Roman" w:cs="Arial"/>
                <w:color w:val="333D6B"/>
                <w:sz w:val="18"/>
                <w:szCs w:val="18"/>
                <w:lang w:val="en-US" w:eastAsia="es-CL"/>
              </w:rPr>
            </w:pPr>
            <w:r w:rsidRPr="00464587">
              <w:rPr>
                <w:rFonts w:cs="Arial"/>
                <w:color w:val="333D6B"/>
                <w:sz w:val="18"/>
                <w:szCs w:val="18"/>
              </w:rPr>
              <w:t>32,57%</w:t>
            </w:r>
          </w:p>
        </w:tc>
        <w:tc>
          <w:tcPr>
            <w:tcW w:w="1020" w:type="dxa"/>
            <w:tcBorders>
              <w:top w:val="dotted" w:sz="4" w:space="0" w:color="E6344B"/>
              <w:left w:val="nil"/>
              <w:bottom w:val="dotted" w:sz="4" w:space="0" w:color="E6344B"/>
              <w:right w:val="nil"/>
            </w:tcBorders>
            <w:shd w:val="clear" w:color="auto" w:fill="auto"/>
            <w:noWrap/>
            <w:vAlign w:val="center"/>
          </w:tcPr>
          <w:p w14:paraId="6041A471" w14:textId="57F10AC2" w:rsidR="005360B7" w:rsidRPr="00464587" w:rsidRDefault="005360B7" w:rsidP="005360B7">
            <w:pPr>
              <w:jc w:val="center"/>
              <w:rPr>
                <w:rFonts w:eastAsia="Times New Roman" w:cs="Arial"/>
                <w:color w:val="333D6B"/>
                <w:sz w:val="18"/>
                <w:szCs w:val="18"/>
                <w:lang w:val="en-US" w:eastAsia="es-CL"/>
              </w:rPr>
            </w:pPr>
            <w:r w:rsidRPr="00464587">
              <w:rPr>
                <w:rFonts w:cs="Arial"/>
                <w:color w:val="333D6B"/>
                <w:sz w:val="18"/>
                <w:szCs w:val="18"/>
              </w:rPr>
              <w:t>19,94%</w:t>
            </w:r>
          </w:p>
        </w:tc>
        <w:tc>
          <w:tcPr>
            <w:tcW w:w="1020" w:type="dxa"/>
            <w:tcBorders>
              <w:top w:val="dotted" w:sz="4" w:space="0" w:color="E6344B"/>
              <w:left w:val="nil"/>
              <w:bottom w:val="dotted" w:sz="4" w:space="0" w:color="E6344B"/>
              <w:right w:val="nil"/>
            </w:tcBorders>
            <w:shd w:val="clear" w:color="auto" w:fill="auto"/>
            <w:noWrap/>
            <w:vAlign w:val="center"/>
          </w:tcPr>
          <w:p w14:paraId="514E6954" w14:textId="55369489" w:rsidR="005360B7" w:rsidRPr="00464587" w:rsidRDefault="005360B7" w:rsidP="005360B7">
            <w:pPr>
              <w:jc w:val="center"/>
              <w:rPr>
                <w:rFonts w:eastAsia="Times New Roman" w:cs="Arial"/>
                <w:color w:val="333D6B"/>
                <w:sz w:val="18"/>
                <w:szCs w:val="18"/>
                <w:lang w:val="en-US" w:eastAsia="es-CL"/>
              </w:rPr>
            </w:pPr>
            <w:r w:rsidRPr="00464587">
              <w:rPr>
                <w:rFonts w:cs="Arial"/>
                <w:color w:val="333D6B"/>
                <w:sz w:val="18"/>
                <w:szCs w:val="18"/>
              </w:rPr>
              <w:t>19,12%</w:t>
            </w:r>
          </w:p>
        </w:tc>
      </w:tr>
      <w:tr w:rsidR="005360B7" w:rsidRPr="00464587" w14:paraId="15DBA6ED" w14:textId="77777777" w:rsidTr="00464587">
        <w:trPr>
          <w:trHeight w:val="283"/>
          <w:jc w:val="center"/>
        </w:trPr>
        <w:tc>
          <w:tcPr>
            <w:tcW w:w="3686" w:type="dxa"/>
            <w:tcBorders>
              <w:top w:val="nil"/>
              <w:left w:val="nil"/>
              <w:bottom w:val="nil"/>
              <w:right w:val="nil"/>
            </w:tcBorders>
            <w:shd w:val="clear" w:color="000000" w:fill="BB1823"/>
            <w:noWrap/>
            <w:vAlign w:val="center"/>
          </w:tcPr>
          <w:p w14:paraId="4AB479BD" w14:textId="393D333E" w:rsidR="005360B7" w:rsidRPr="00464587" w:rsidRDefault="005360B7" w:rsidP="005360B7">
            <w:pPr>
              <w:rPr>
                <w:rFonts w:eastAsia="Times New Roman" w:cs="Arial"/>
                <w:b/>
                <w:bCs/>
                <w:color w:val="FFFFFF"/>
                <w:sz w:val="18"/>
                <w:szCs w:val="18"/>
                <w:lang w:eastAsia="es-CL"/>
              </w:rPr>
            </w:pPr>
            <w:r w:rsidRPr="00464587">
              <w:rPr>
                <w:rFonts w:cs="Arial"/>
                <w:b/>
                <w:bCs/>
                <w:color w:val="FFFFFF"/>
                <w:sz w:val="18"/>
                <w:szCs w:val="18"/>
              </w:rPr>
              <w:t>E.B.I.T.D.A. a Ingresos (%)</w:t>
            </w:r>
          </w:p>
        </w:tc>
        <w:tc>
          <w:tcPr>
            <w:tcW w:w="1020" w:type="dxa"/>
            <w:tcBorders>
              <w:top w:val="dotted" w:sz="4" w:space="0" w:color="E6344B"/>
              <w:left w:val="nil"/>
              <w:bottom w:val="dotted" w:sz="4" w:space="0" w:color="E6344B"/>
              <w:right w:val="nil"/>
            </w:tcBorders>
            <w:shd w:val="clear" w:color="auto" w:fill="auto"/>
            <w:noWrap/>
            <w:vAlign w:val="center"/>
          </w:tcPr>
          <w:p w14:paraId="08AF2DB7" w14:textId="29ED205E"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40,04%</w:t>
            </w:r>
          </w:p>
        </w:tc>
        <w:tc>
          <w:tcPr>
            <w:tcW w:w="1020" w:type="dxa"/>
            <w:tcBorders>
              <w:top w:val="dotted" w:sz="4" w:space="0" w:color="E6344B"/>
              <w:left w:val="nil"/>
              <w:bottom w:val="dotted" w:sz="4" w:space="0" w:color="E6344B"/>
              <w:right w:val="nil"/>
            </w:tcBorders>
            <w:shd w:val="clear" w:color="auto" w:fill="auto"/>
            <w:noWrap/>
            <w:vAlign w:val="center"/>
          </w:tcPr>
          <w:p w14:paraId="43798818" w14:textId="08FF6C66"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46,53%</w:t>
            </w:r>
          </w:p>
        </w:tc>
        <w:tc>
          <w:tcPr>
            <w:tcW w:w="1020" w:type="dxa"/>
            <w:tcBorders>
              <w:top w:val="dotted" w:sz="4" w:space="0" w:color="E6344B"/>
              <w:left w:val="nil"/>
              <w:bottom w:val="dotted" w:sz="4" w:space="0" w:color="E6344B"/>
              <w:right w:val="nil"/>
            </w:tcBorders>
            <w:shd w:val="clear" w:color="auto" w:fill="auto"/>
            <w:noWrap/>
            <w:vAlign w:val="center"/>
          </w:tcPr>
          <w:p w14:paraId="2866C68E" w14:textId="49EE4C03"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52,22%</w:t>
            </w:r>
          </w:p>
        </w:tc>
        <w:tc>
          <w:tcPr>
            <w:tcW w:w="1020" w:type="dxa"/>
            <w:tcBorders>
              <w:top w:val="dotted" w:sz="4" w:space="0" w:color="E6344B"/>
              <w:left w:val="nil"/>
              <w:bottom w:val="dotted" w:sz="4" w:space="0" w:color="E6344B"/>
              <w:right w:val="nil"/>
            </w:tcBorders>
            <w:shd w:val="clear" w:color="auto" w:fill="auto"/>
            <w:noWrap/>
            <w:vAlign w:val="center"/>
          </w:tcPr>
          <w:p w14:paraId="09DBF428" w14:textId="55E6E974"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47,62%</w:t>
            </w:r>
          </w:p>
        </w:tc>
        <w:tc>
          <w:tcPr>
            <w:tcW w:w="1020" w:type="dxa"/>
            <w:tcBorders>
              <w:top w:val="dotted" w:sz="4" w:space="0" w:color="E6344B"/>
              <w:left w:val="nil"/>
              <w:bottom w:val="dotted" w:sz="4" w:space="0" w:color="E6344B"/>
              <w:right w:val="nil"/>
            </w:tcBorders>
            <w:shd w:val="clear" w:color="auto" w:fill="auto"/>
            <w:noWrap/>
            <w:vAlign w:val="center"/>
          </w:tcPr>
          <w:p w14:paraId="56324958" w14:textId="1696E33B"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43,82%</w:t>
            </w:r>
          </w:p>
        </w:tc>
        <w:tc>
          <w:tcPr>
            <w:tcW w:w="1020" w:type="dxa"/>
            <w:tcBorders>
              <w:top w:val="dotted" w:sz="4" w:space="0" w:color="E6344B"/>
              <w:left w:val="nil"/>
              <w:bottom w:val="dotted" w:sz="4" w:space="0" w:color="E6344B"/>
              <w:right w:val="nil"/>
            </w:tcBorders>
            <w:shd w:val="clear" w:color="auto" w:fill="auto"/>
            <w:noWrap/>
            <w:vAlign w:val="center"/>
          </w:tcPr>
          <w:p w14:paraId="62349241" w14:textId="35980AFA" w:rsidR="005360B7" w:rsidRPr="00464587" w:rsidRDefault="005360B7" w:rsidP="005360B7">
            <w:pPr>
              <w:jc w:val="center"/>
              <w:rPr>
                <w:rFonts w:eastAsia="Times New Roman" w:cs="Arial"/>
                <w:color w:val="333D6B"/>
                <w:sz w:val="18"/>
                <w:szCs w:val="18"/>
                <w:lang w:eastAsia="es-CL"/>
              </w:rPr>
            </w:pPr>
            <w:r w:rsidRPr="00464587">
              <w:rPr>
                <w:rFonts w:cs="Arial"/>
                <w:color w:val="333D6B"/>
                <w:sz w:val="18"/>
                <w:szCs w:val="18"/>
              </w:rPr>
              <w:t>42,28%</w:t>
            </w:r>
          </w:p>
        </w:tc>
      </w:tr>
    </w:tbl>
    <w:p w14:paraId="0BBAF6B6" w14:textId="77777777" w:rsidR="00C82F4B" w:rsidRDefault="00C82F4B" w:rsidP="00F976A9">
      <w:pPr>
        <w:tabs>
          <w:tab w:val="right" w:pos="7489"/>
          <w:tab w:val="left" w:pos="11160"/>
        </w:tabs>
        <w:spacing w:line="360" w:lineRule="auto"/>
        <w:jc w:val="both"/>
        <w:rPr>
          <w:rFonts w:ascii="Verdana" w:eastAsia="Times New Roman" w:hAnsi="Verdana" w:cs="Times New Roman"/>
          <w:b/>
          <w:color w:val="999999"/>
          <w:sz w:val="19"/>
          <w:szCs w:val="19"/>
          <w:lang w:eastAsia="es-ES"/>
        </w:rPr>
      </w:pPr>
    </w:p>
    <w:p w14:paraId="2F97ED6D" w14:textId="10D1F1B3" w:rsidR="00C82F4B" w:rsidRDefault="00C82F4B" w:rsidP="00F976A9">
      <w:pPr>
        <w:tabs>
          <w:tab w:val="right" w:pos="7489"/>
          <w:tab w:val="left" w:pos="11160"/>
        </w:tabs>
        <w:spacing w:line="360" w:lineRule="auto"/>
        <w:jc w:val="both"/>
        <w:rPr>
          <w:rFonts w:ascii="Verdana" w:eastAsia="Times New Roman" w:hAnsi="Verdana" w:cs="Times New Roman"/>
          <w:b/>
          <w:color w:val="999999"/>
          <w:sz w:val="19"/>
          <w:szCs w:val="19"/>
          <w:lang w:eastAsia="es-ES"/>
        </w:rPr>
      </w:pPr>
    </w:p>
    <w:p w14:paraId="61321B4B" w14:textId="5A4E0015" w:rsidR="00464587" w:rsidRDefault="00464587" w:rsidP="00F976A9">
      <w:pPr>
        <w:tabs>
          <w:tab w:val="right" w:pos="7489"/>
          <w:tab w:val="left" w:pos="11160"/>
        </w:tabs>
        <w:spacing w:line="360" w:lineRule="auto"/>
        <w:jc w:val="both"/>
        <w:rPr>
          <w:rFonts w:ascii="Verdana" w:eastAsia="Times New Roman" w:hAnsi="Verdana" w:cs="Times New Roman"/>
          <w:b/>
          <w:color w:val="999999"/>
          <w:sz w:val="19"/>
          <w:szCs w:val="19"/>
          <w:lang w:eastAsia="es-ES"/>
        </w:rPr>
      </w:pPr>
    </w:p>
    <w:p w14:paraId="7D661EC9" w14:textId="51B7FA35" w:rsidR="00464587" w:rsidRDefault="00464587" w:rsidP="00F976A9">
      <w:pPr>
        <w:tabs>
          <w:tab w:val="right" w:pos="7489"/>
          <w:tab w:val="left" w:pos="11160"/>
        </w:tabs>
        <w:spacing w:line="360" w:lineRule="auto"/>
        <w:jc w:val="both"/>
        <w:rPr>
          <w:rFonts w:ascii="Verdana" w:eastAsia="Times New Roman" w:hAnsi="Verdana" w:cs="Times New Roman"/>
          <w:b/>
          <w:color w:val="999999"/>
          <w:sz w:val="19"/>
          <w:szCs w:val="19"/>
          <w:lang w:eastAsia="es-ES"/>
        </w:rPr>
      </w:pPr>
    </w:p>
    <w:p w14:paraId="1A06A064" w14:textId="0B43EDB4" w:rsidR="00464587" w:rsidRDefault="00464587" w:rsidP="00F976A9">
      <w:pPr>
        <w:tabs>
          <w:tab w:val="right" w:pos="7489"/>
          <w:tab w:val="left" w:pos="11160"/>
        </w:tabs>
        <w:spacing w:line="360" w:lineRule="auto"/>
        <w:jc w:val="both"/>
        <w:rPr>
          <w:rFonts w:ascii="Verdana" w:eastAsia="Times New Roman" w:hAnsi="Verdana" w:cs="Times New Roman"/>
          <w:b/>
          <w:color w:val="999999"/>
          <w:sz w:val="19"/>
          <w:szCs w:val="19"/>
          <w:lang w:eastAsia="es-ES"/>
        </w:rPr>
      </w:pPr>
    </w:p>
    <w:p w14:paraId="4802CFE8" w14:textId="2EEED5FE" w:rsidR="00464587" w:rsidRDefault="00464587" w:rsidP="00F976A9">
      <w:pPr>
        <w:tabs>
          <w:tab w:val="right" w:pos="7489"/>
          <w:tab w:val="left" w:pos="11160"/>
        </w:tabs>
        <w:spacing w:line="360" w:lineRule="auto"/>
        <w:jc w:val="both"/>
        <w:rPr>
          <w:rFonts w:ascii="Verdana" w:eastAsia="Times New Roman" w:hAnsi="Verdana" w:cs="Times New Roman"/>
          <w:b/>
          <w:color w:val="999999"/>
          <w:sz w:val="19"/>
          <w:szCs w:val="19"/>
          <w:lang w:eastAsia="es-ES"/>
        </w:rPr>
      </w:pPr>
    </w:p>
    <w:p w14:paraId="1B943B88" w14:textId="20BC841C" w:rsidR="00464587" w:rsidRDefault="00464587" w:rsidP="00F976A9">
      <w:pPr>
        <w:tabs>
          <w:tab w:val="right" w:pos="7489"/>
          <w:tab w:val="left" w:pos="11160"/>
        </w:tabs>
        <w:spacing w:line="360" w:lineRule="auto"/>
        <w:jc w:val="both"/>
        <w:rPr>
          <w:rFonts w:ascii="Verdana" w:eastAsia="Times New Roman" w:hAnsi="Verdana" w:cs="Times New Roman"/>
          <w:b/>
          <w:color w:val="999999"/>
          <w:sz w:val="19"/>
          <w:szCs w:val="19"/>
          <w:lang w:eastAsia="es-ES"/>
        </w:rPr>
      </w:pPr>
    </w:p>
    <w:p w14:paraId="7B24E662" w14:textId="51A730FE" w:rsidR="00464587" w:rsidRDefault="00464587" w:rsidP="00F976A9">
      <w:pPr>
        <w:tabs>
          <w:tab w:val="right" w:pos="7489"/>
          <w:tab w:val="left" w:pos="11160"/>
        </w:tabs>
        <w:spacing w:line="360" w:lineRule="auto"/>
        <w:jc w:val="both"/>
        <w:rPr>
          <w:rFonts w:ascii="Verdana" w:eastAsia="Times New Roman" w:hAnsi="Verdana" w:cs="Times New Roman"/>
          <w:b/>
          <w:color w:val="999999"/>
          <w:sz w:val="19"/>
          <w:szCs w:val="19"/>
          <w:lang w:eastAsia="es-ES"/>
        </w:rPr>
      </w:pPr>
    </w:p>
    <w:p w14:paraId="160F4FA0" w14:textId="646E6E50" w:rsidR="00464587" w:rsidRDefault="00464587" w:rsidP="00F976A9">
      <w:pPr>
        <w:tabs>
          <w:tab w:val="right" w:pos="7489"/>
          <w:tab w:val="left" w:pos="11160"/>
        </w:tabs>
        <w:spacing w:line="360" w:lineRule="auto"/>
        <w:jc w:val="both"/>
        <w:rPr>
          <w:rFonts w:ascii="Verdana" w:eastAsia="Times New Roman" w:hAnsi="Verdana" w:cs="Times New Roman"/>
          <w:b/>
          <w:color w:val="999999"/>
          <w:sz w:val="19"/>
          <w:szCs w:val="19"/>
          <w:lang w:eastAsia="es-ES"/>
        </w:rPr>
      </w:pPr>
    </w:p>
    <w:p w14:paraId="7B8ACDF2" w14:textId="170BC9C8" w:rsidR="00464587" w:rsidRDefault="00464587" w:rsidP="00F976A9">
      <w:pPr>
        <w:tabs>
          <w:tab w:val="right" w:pos="7489"/>
          <w:tab w:val="left" w:pos="11160"/>
        </w:tabs>
        <w:spacing w:line="360" w:lineRule="auto"/>
        <w:jc w:val="both"/>
        <w:rPr>
          <w:rFonts w:ascii="Verdana" w:eastAsia="Times New Roman" w:hAnsi="Verdana" w:cs="Times New Roman"/>
          <w:b/>
          <w:color w:val="999999"/>
          <w:sz w:val="19"/>
          <w:szCs w:val="19"/>
          <w:lang w:eastAsia="es-ES"/>
        </w:rPr>
      </w:pPr>
    </w:p>
    <w:p w14:paraId="3A48C3B7" w14:textId="148916F4" w:rsidR="00464587" w:rsidRDefault="00464587" w:rsidP="00F976A9">
      <w:pPr>
        <w:tabs>
          <w:tab w:val="right" w:pos="7489"/>
          <w:tab w:val="left" w:pos="11160"/>
        </w:tabs>
        <w:spacing w:line="360" w:lineRule="auto"/>
        <w:jc w:val="both"/>
        <w:rPr>
          <w:rFonts w:ascii="Verdana" w:eastAsia="Times New Roman" w:hAnsi="Verdana" w:cs="Times New Roman"/>
          <w:b/>
          <w:color w:val="999999"/>
          <w:sz w:val="19"/>
          <w:szCs w:val="19"/>
          <w:lang w:eastAsia="es-ES"/>
        </w:rPr>
      </w:pPr>
    </w:p>
    <w:p w14:paraId="6A424F74" w14:textId="0CEEF38E" w:rsidR="00464587" w:rsidRDefault="00464587" w:rsidP="00F976A9">
      <w:pPr>
        <w:tabs>
          <w:tab w:val="right" w:pos="7489"/>
          <w:tab w:val="left" w:pos="11160"/>
        </w:tabs>
        <w:spacing w:line="360" w:lineRule="auto"/>
        <w:jc w:val="both"/>
        <w:rPr>
          <w:rFonts w:ascii="Verdana" w:eastAsia="Times New Roman" w:hAnsi="Verdana" w:cs="Times New Roman"/>
          <w:b/>
          <w:color w:val="999999"/>
          <w:sz w:val="19"/>
          <w:szCs w:val="19"/>
          <w:lang w:eastAsia="es-ES"/>
        </w:rPr>
      </w:pPr>
    </w:p>
    <w:p w14:paraId="46023CF7" w14:textId="5EE9BA47" w:rsidR="00464587" w:rsidRDefault="00464587" w:rsidP="00F976A9">
      <w:pPr>
        <w:tabs>
          <w:tab w:val="right" w:pos="7489"/>
          <w:tab w:val="left" w:pos="11160"/>
        </w:tabs>
        <w:spacing w:line="360" w:lineRule="auto"/>
        <w:jc w:val="both"/>
        <w:rPr>
          <w:rFonts w:ascii="Verdana" w:eastAsia="Times New Roman" w:hAnsi="Verdana" w:cs="Times New Roman"/>
          <w:b/>
          <w:color w:val="999999"/>
          <w:sz w:val="19"/>
          <w:szCs w:val="19"/>
          <w:lang w:eastAsia="es-ES"/>
        </w:rPr>
      </w:pPr>
    </w:p>
    <w:p w14:paraId="479C1ADF" w14:textId="4ABFB820" w:rsidR="00464587" w:rsidRDefault="00464587" w:rsidP="00F976A9">
      <w:pPr>
        <w:tabs>
          <w:tab w:val="right" w:pos="7489"/>
          <w:tab w:val="left" w:pos="11160"/>
        </w:tabs>
        <w:spacing w:line="360" w:lineRule="auto"/>
        <w:jc w:val="both"/>
        <w:rPr>
          <w:rFonts w:ascii="Verdana" w:eastAsia="Times New Roman" w:hAnsi="Verdana" w:cs="Times New Roman"/>
          <w:b/>
          <w:color w:val="999999"/>
          <w:sz w:val="19"/>
          <w:szCs w:val="19"/>
          <w:lang w:eastAsia="es-ES"/>
        </w:rPr>
      </w:pPr>
    </w:p>
    <w:p w14:paraId="380778AB" w14:textId="11AD182F" w:rsidR="00464587" w:rsidRDefault="00464587" w:rsidP="00F976A9">
      <w:pPr>
        <w:tabs>
          <w:tab w:val="right" w:pos="7489"/>
          <w:tab w:val="left" w:pos="11160"/>
        </w:tabs>
        <w:spacing w:line="360" w:lineRule="auto"/>
        <w:jc w:val="both"/>
        <w:rPr>
          <w:rFonts w:ascii="Verdana" w:eastAsia="Times New Roman" w:hAnsi="Verdana" w:cs="Times New Roman"/>
          <w:b/>
          <w:color w:val="999999"/>
          <w:sz w:val="19"/>
          <w:szCs w:val="19"/>
          <w:lang w:eastAsia="es-ES"/>
        </w:rPr>
      </w:pPr>
    </w:p>
    <w:p w14:paraId="3885714E" w14:textId="725899F2" w:rsidR="00464587" w:rsidRDefault="00464587" w:rsidP="00F976A9">
      <w:pPr>
        <w:tabs>
          <w:tab w:val="right" w:pos="7489"/>
          <w:tab w:val="left" w:pos="11160"/>
        </w:tabs>
        <w:spacing w:line="360" w:lineRule="auto"/>
        <w:jc w:val="both"/>
        <w:rPr>
          <w:rFonts w:ascii="Verdana" w:eastAsia="Times New Roman" w:hAnsi="Verdana" w:cs="Times New Roman"/>
          <w:b/>
          <w:color w:val="999999"/>
          <w:sz w:val="19"/>
          <w:szCs w:val="19"/>
          <w:lang w:eastAsia="es-ES"/>
        </w:rPr>
      </w:pPr>
    </w:p>
    <w:p w14:paraId="4C16C63C" w14:textId="20BFC63D" w:rsidR="00464587" w:rsidRDefault="00464587" w:rsidP="00F976A9">
      <w:pPr>
        <w:tabs>
          <w:tab w:val="right" w:pos="7489"/>
          <w:tab w:val="left" w:pos="11160"/>
        </w:tabs>
        <w:spacing w:line="360" w:lineRule="auto"/>
        <w:jc w:val="both"/>
        <w:rPr>
          <w:rFonts w:ascii="Verdana" w:eastAsia="Times New Roman" w:hAnsi="Verdana" w:cs="Times New Roman"/>
          <w:b/>
          <w:color w:val="999999"/>
          <w:sz w:val="19"/>
          <w:szCs w:val="19"/>
          <w:lang w:eastAsia="es-ES"/>
        </w:rPr>
      </w:pPr>
    </w:p>
    <w:p w14:paraId="7824CED9" w14:textId="37205FFB" w:rsidR="00464587" w:rsidRDefault="00464587" w:rsidP="00F976A9">
      <w:pPr>
        <w:tabs>
          <w:tab w:val="right" w:pos="7489"/>
          <w:tab w:val="left" w:pos="11160"/>
        </w:tabs>
        <w:spacing w:line="360" w:lineRule="auto"/>
        <w:jc w:val="both"/>
        <w:rPr>
          <w:rFonts w:ascii="Verdana" w:eastAsia="Times New Roman" w:hAnsi="Verdana" w:cs="Times New Roman"/>
          <w:b/>
          <w:color w:val="999999"/>
          <w:sz w:val="19"/>
          <w:szCs w:val="19"/>
          <w:lang w:eastAsia="es-ES"/>
        </w:rPr>
      </w:pPr>
    </w:p>
    <w:p w14:paraId="700EF17A" w14:textId="0852D899" w:rsidR="00464587" w:rsidRDefault="00464587" w:rsidP="00F976A9">
      <w:pPr>
        <w:tabs>
          <w:tab w:val="right" w:pos="7489"/>
          <w:tab w:val="left" w:pos="11160"/>
        </w:tabs>
        <w:spacing w:line="360" w:lineRule="auto"/>
        <w:jc w:val="both"/>
        <w:rPr>
          <w:rFonts w:ascii="Verdana" w:eastAsia="Times New Roman" w:hAnsi="Verdana" w:cs="Times New Roman"/>
          <w:b/>
          <w:color w:val="999999"/>
          <w:sz w:val="19"/>
          <w:szCs w:val="19"/>
          <w:lang w:eastAsia="es-ES"/>
        </w:rPr>
      </w:pPr>
    </w:p>
    <w:p w14:paraId="6D4C220C" w14:textId="1CC3169B" w:rsidR="00464587" w:rsidRDefault="00464587" w:rsidP="00F976A9">
      <w:pPr>
        <w:tabs>
          <w:tab w:val="right" w:pos="7489"/>
          <w:tab w:val="left" w:pos="11160"/>
        </w:tabs>
        <w:spacing w:line="360" w:lineRule="auto"/>
        <w:jc w:val="both"/>
        <w:rPr>
          <w:rFonts w:ascii="Verdana" w:eastAsia="Times New Roman" w:hAnsi="Verdana" w:cs="Times New Roman"/>
          <w:b/>
          <w:color w:val="999999"/>
          <w:sz w:val="19"/>
          <w:szCs w:val="19"/>
          <w:lang w:eastAsia="es-ES"/>
        </w:rPr>
      </w:pPr>
    </w:p>
    <w:p w14:paraId="0346EFAF" w14:textId="5365C8F7" w:rsidR="00464587" w:rsidRDefault="00464587" w:rsidP="00F976A9">
      <w:pPr>
        <w:tabs>
          <w:tab w:val="right" w:pos="7489"/>
          <w:tab w:val="left" w:pos="11160"/>
        </w:tabs>
        <w:spacing w:line="360" w:lineRule="auto"/>
        <w:jc w:val="both"/>
        <w:rPr>
          <w:rFonts w:ascii="Verdana" w:eastAsia="Times New Roman" w:hAnsi="Verdana" w:cs="Times New Roman"/>
          <w:b/>
          <w:color w:val="999999"/>
          <w:sz w:val="19"/>
          <w:szCs w:val="19"/>
          <w:lang w:eastAsia="es-ES"/>
        </w:rPr>
      </w:pPr>
    </w:p>
    <w:p w14:paraId="02DB9503" w14:textId="77777777" w:rsidR="00464587" w:rsidRPr="00F976A9" w:rsidRDefault="00464587" w:rsidP="00F976A9">
      <w:pPr>
        <w:tabs>
          <w:tab w:val="right" w:pos="7489"/>
          <w:tab w:val="left" w:pos="11160"/>
        </w:tabs>
        <w:spacing w:line="360" w:lineRule="auto"/>
        <w:jc w:val="both"/>
        <w:rPr>
          <w:rFonts w:ascii="Verdana" w:eastAsia="Times New Roman" w:hAnsi="Verdana" w:cs="Times New Roman"/>
          <w:b/>
          <w:color w:val="999999"/>
          <w:sz w:val="19"/>
          <w:szCs w:val="19"/>
          <w:lang w:eastAsia="es-ES"/>
        </w:rPr>
      </w:pPr>
    </w:p>
    <w:p w14:paraId="07A860FD" w14:textId="77777777" w:rsidR="00F976A9" w:rsidRPr="00F976A9" w:rsidRDefault="00F976A9" w:rsidP="00F976A9">
      <w:pPr>
        <w:tabs>
          <w:tab w:val="right" w:pos="7489"/>
          <w:tab w:val="left" w:pos="11160"/>
        </w:tabs>
        <w:spacing w:line="360" w:lineRule="auto"/>
        <w:jc w:val="both"/>
        <w:rPr>
          <w:rFonts w:ascii="Verdana" w:eastAsia="Times New Roman" w:hAnsi="Verdana" w:cs="Times New Roman"/>
          <w:b/>
          <w:color w:val="999999"/>
          <w:sz w:val="19"/>
          <w:szCs w:val="19"/>
          <w:lang w:eastAsia="es-ES"/>
        </w:rPr>
      </w:pPr>
    </w:p>
    <w:p w14:paraId="7AEB2577" w14:textId="141EBE0A" w:rsidR="00F976A9" w:rsidRDefault="00F976A9" w:rsidP="00F976A9">
      <w:pPr>
        <w:tabs>
          <w:tab w:val="right" w:pos="7489"/>
          <w:tab w:val="left" w:pos="11160"/>
        </w:tabs>
        <w:spacing w:line="360" w:lineRule="auto"/>
        <w:jc w:val="both"/>
        <w:rPr>
          <w:rFonts w:ascii="Verdana" w:eastAsia="Times New Roman" w:hAnsi="Verdana" w:cs="Times New Roman"/>
          <w:b/>
          <w:color w:val="999999"/>
          <w:sz w:val="19"/>
          <w:szCs w:val="19"/>
          <w:lang w:eastAsia="es-ES"/>
        </w:rPr>
      </w:pPr>
    </w:p>
    <w:p w14:paraId="7A6D45EB" w14:textId="77777777" w:rsidR="003F02C3" w:rsidRPr="00F976A9" w:rsidRDefault="003F02C3" w:rsidP="00F976A9">
      <w:pPr>
        <w:tabs>
          <w:tab w:val="right" w:pos="7489"/>
          <w:tab w:val="left" w:pos="11160"/>
        </w:tabs>
        <w:spacing w:line="360" w:lineRule="auto"/>
        <w:jc w:val="both"/>
        <w:rPr>
          <w:rFonts w:ascii="Verdana" w:eastAsia="Times New Roman" w:hAnsi="Verdana" w:cs="Times New Roman"/>
          <w:b/>
          <w:color w:val="999999"/>
          <w:sz w:val="19"/>
          <w:szCs w:val="19"/>
          <w:lang w:eastAsia="es-ES"/>
        </w:rPr>
      </w:pPr>
    </w:p>
    <w:p w14:paraId="24FDABB1" w14:textId="77777777" w:rsidR="003F02C3" w:rsidRDefault="003F02C3" w:rsidP="00F976A9">
      <w:pPr>
        <w:tabs>
          <w:tab w:val="left" w:pos="0"/>
          <w:tab w:val="left" w:pos="11160"/>
        </w:tabs>
        <w:spacing w:line="360" w:lineRule="auto"/>
        <w:ind w:right="-1"/>
        <w:jc w:val="both"/>
        <w:rPr>
          <w:rFonts w:ascii="Verdana" w:eastAsia="Times New Roman" w:hAnsi="Verdana" w:cs="Times New Roman"/>
          <w:b/>
          <w:color w:val="999999"/>
          <w:sz w:val="19"/>
          <w:szCs w:val="19"/>
          <w:lang w:eastAsia="es-ES"/>
        </w:rPr>
      </w:pPr>
    </w:p>
    <w:p w14:paraId="720A93A2" w14:textId="77777777" w:rsidR="00C82F4B" w:rsidRDefault="00C82F4B" w:rsidP="00F976A9">
      <w:pPr>
        <w:tabs>
          <w:tab w:val="left" w:pos="0"/>
          <w:tab w:val="left" w:pos="11160"/>
        </w:tabs>
        <w:spacing w:line="360" w:lineRule="auto"/>
        <w:ind w:right="-1"/>
        <w:jc w:val="both"/>
        <w:rPr>
          <w:rFonts w:ascii="Verdana" w:eastAsia="Times New Roman" w:hAnsi="Verdana" w:cs="Times New Roman"/>
          <w:b/>
          <w:color w:val="999999"/>
          <w:sz w:val="19"/>
          <w:szCs w:val="19"/>
          <w:lang w:eastAsia="es-ES"/>
        </w:rPr>
      </w:pPr>
    </w:p>
    <w:p w14:paraId="01BF5177" w14:textId="77777777" w:rsidR="00C82F4B" w:rsidRDefault="00C82F4B" w:rsidP="00F976A9">
      <w:pPr>
        <w:tabs>
          <w:tab w:val="left" w:pos="0"/>
          <w:tab w:val="left" w:pos="11160"/>
        </w:tabs>
        <w:spacing w:line="360" w:lineRule="auto"/>
        <w:ind w:right="-1"/>
        <w:jc w:val="both"/>
        <w:rPr>
          <w:rFonts w:ascii="Verdana" w:eastAsia="Times New Roman" w:hAnsi="Verdana" w:cs="Times New Roman"/>
          <w:b/>
          <w:color w:val="999999"/>
          <w:sz w:val="19"/>
          <w:szCs w:val="19"/>
          <w:lang w:eastAsia="es-ES"/>
        </w:rPr>
      </w:pPr>
    </w:p>
    <w:p w14:paraId="07EC2F88" w14:textId="0086D6B2" w:rsidR="00C82F4B" w:rsidRDefault="00C82F4B" w:rsidP="00F976A9">
      <w:pPr>
        <w:tabs>
          <w:tab w:val="left" w:pos="0"/>
          <w:tab w:val="left" w:pos="11160"/>
        </w:tabs>
        <w:spacing w:line="360" w:lineRule="auto"/>
        <w:ind w:right="-1"/>
        <w:jc w:val="both"/>
        <w:rPr>
          <w:rFonts w:ascii="Verdana" w:eastAsia="Times New Roman" w:hAnsi="Verdana" w:cs="Times New Roman"/>
          <w:b/>
          <w:color w:val="999999"/>
          <w:sz w:val="19"/>
          <w:szCs w:val="19"/>
          <w:lang w:eastAsia="es-ES"/>
        </w:rPr>
      </w:pPr>
    </w:p>
    <w:p w14:paraId="4FE70962" w14:textId="77777777" w:rsidR="00464587" w:rsidRDefault="00464587" w:rsidP="00F976A9">
      <w:pPr>
        <w:tabs>
          <w:tab w:val="left" w:pos="0"/>
          <w:tab w:val="left" w:pos="11160"/>
        </w:tabs>
        <w:spacing w:line="360" w:lineRule="auto"/>
        <w:ind w:right="-1"/>
        <w:jc w:val="both"/>
        <w:rPr>
          <w:rFonts w:ascii="Verdana" w:eastAsia="Times New Roman" w:hAnsi="Verdana" w:cs="Times New Roman"/>
          <w:b/>
          <w:color w:val="999999"/>
          <w:sz w:val="19"/>
          <w:szCs w:val="19"/>
          <w:lang w:eastAsia="es-ES"/>
        </w:rPr>
      </w:pPr>
    </w:p>
    <w:p w14:paraId="07E7941B" w14:textId="77777777" w:rsidR="00C82F4B" w:rsidRDefault="00C82F4B" w:rsidP="00F976A9">
      <w:pPr>
        <w:tabs>
          <w:tab w:val="left" w:pos="0"/>
          <w:tab w:val="left" w:pos="11160"/>
        </w:tabs>
        <w:spacing w:line="360" w:lineRule="auto"/>
        <w:ind w:right="-1"/>
        <w:jc w:val="both"/>
        <w:rPr>
          <w:rFonts w:ascii="Verdana" w:eastAsia="Times New Roman" w:hAnsi="Verdana" w:cs="Times New Roman"/>
          <w:i/>
          <w:iCs/>
          <w:color w:val="A6A6A6"/>
          <w:sz w:val="16"/>
          <w:szCs w:val="16"/>
          <w:lang w:val="es-ES" w:eastAsia="es-ES"/>
        </w:rPr>
      </w:pPr>
    </w:p>
    <w:p w14:paraId="70CDB1D0" w14:textId="77777777" w:rsidR="003F02C3" w:rsidRDefault="003F02C3" w:rsidP="00F976A9">
      <w:pPr>
        <w:tabs>
          <w:tab w:val="left" w:pos="0"/>
          <w:tab w:val="left" w:pos="11160"/>
        </w:tabs>
        <w:spacing w:line="360" w:lineRule="auto"/>
        <w:ind w:right="-1"/>
        <w:jc w:val="both"/>
        <w:rPr>
          <w:rFonts w:ascii="Verdana" w:eastAsia="Times New Roman" w:hAnsi="Verdana" w:cs="Times New Roman"/>
          <w:i/>
          <w:iCs/>
          <w:color w:val="A6A6A6"/>
          <w:sz w:val="16"/>
          <w:szCs w:val="16"/>
          <w:lang w:val="es-ES" w:eastAsia="es-ES"/>
        </w:rPr>
      </w:pPr>
    </w:p>
    <w:p w14:paraId="011BB31D" w14:textId="77777777" w:rsidR="003F02C3" w:rsidRDefault="003F02C3" w:rsidP="00F976A9">
      <w:pPr>
        <w:tabs>
          <w:tab w:val="left" w:pos="0"/>
          <w:tab w:val="left" w:pos="11160"/>
        </w:tabs>
        <w:spacing w:line="360" w:lineRule="auto"/>
        <w:ind w:right="-1"/>
        <w:jc w:val="both"/>
        <w:rPr>
          <w:rFonts w:ascii="Verdana" w:eastAsia="Times New Roman" w:hAnsi="Verdana" w:cs="Times New Roman"/>
          <w:i/>
          <w:iCs/>
          <w:color w:val="A6A6A6"/>
          <w:sz w:val="16"/>
          <w:szCs w:val="16"/>
          <w:lang w:val="es-ES" w:eastAsia="es-ES"/>
        </w:rPr>
      </w:pPr>
    </w:p>
    <w:p w14:paraId="00DEBFAB" w14:textId="116BF989" w:rsidR="00F976A9" w:rsidRPr="00F976A9" w:rsidRDefault="00F976A9" w:rsidP="00F976A9">
      <w:pPr>
        <w:tabs>
          <w:tab w:val="left" w:pos="0"/>
          <w:tab w:val="left" w:pos="11160"/>
        </w:tabs>
        <w:spacing w:line="360" w:lineRule="auto"/>
        <w:ind w:right="-1"/>
        <w:jc w:val="both"/>
      </w:pPr>
      <w:r w:rsidRPr="00F976A9">
        <w:rPr>
          <w:rFonts w:ascii="Verdana" w:eastAsia="Times New Roman" w:hAnsi="Verdana" w:cs="Times New Roman"/>
          <w:bCs/>
          <w:i/>
          <w:color w:val="999999"/>
          <w:sz w:val="16"/>
          <w:szCs w:val="16"/>
          <w:lang w:eastAsia="es-ES"/>
        </w:rPr>
        <w:t>“La opinión de las entidades clasificadoras no constituye en ningún caso una recomendación para comprar, vender o mantener un determinado instrumento. El análisis no es el resultado de una auditoría practicada al emisor, sino que se basa en información que éste ha hecho pública o ha remitido a la Comisión para el Mercado Financiero y en aquella que ha sido aportada voluntariamente por el emisor, no siendo responsabilidad de la firma evaluadora la verificación de la autenticidad de la misma.”</w:t>
      </w:r>
    </w:p>
    <w:sectPr w:rsidR="00F976A9" w:rsidRPr="00F976A9" w:rsidSect="00DE23AE">
      <w:headerReference w:type="even" r:id="rId26"/>
      <w:headerReference w:type="default" r:id="rId27"/>
      <w:footerReference w:type="even" r:id="rId28"/>
      <w:footerReference w:type="default" r:id="rId29"/>
      <w:headerReference w:type="first" r:id="rId30"/>
      <w:footerReference w:type="first" r:id="rId31"/>
      <w:pgSz w:w="12240" w:h="15840"/>
      <w:pgMar w:top="2268" w:right="1247" w:bottom="1531" w:left="1247" w:header="567" w:footer="567"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3D548" w14:textId="77777777" w:rsidR="00F65575" w:rsidRDefault="00F65575" w:rsidP="00366E6F">
      <w:r>
        <w:separator/>
      </w:r>
    </w:p>
  </w:endnote>
  <w:endnote w:type="continuationSeparator" w:id="0">
    <w:p w14:paraId="4414EA17" w14:textId="77777777" w:rsidR="00F65575" w:rsidRDefault="00F65575" w:rsidP="00366E6F">
      <w:r>
        <w:continuationSeparator/>
      </w:r>
    </w:p>
  </w:endnote>
  <w:endnote w:type="continuationNotice" w:id="1">
    <w:p w14:paraId="568CA4CD" w14:textId="77777777" w:rsidR="00F65575" w:rsidRDefault="00F655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Myriad Pro Black SemiCond">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205480477"/>
      <w:docPartObj>
        <w:docPartGallery w:val="Page Numbers (Bottom of Page)"/>
        <w:docPartUnique/>
      </w:docPartObj>
    </w:sdtPr>
    <w:sdtContent>
      <w:p w14:paraId="216E9939" w14:textId="77777777" w:rsidR="002776AA" w:rsidRDefault="002776AA" w:rsidP="00366E6F">
        <w:pPr>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AF8D98E" w14:textId="77777777" w:rsidR="002776AA" w:rsidRDefault="002776AA" w:rsidP="00366E6F">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Myriad Pro Black SemiCond" w:hAnsi="Myriad Pro Black SemiCond"/>
        <w:b/>
        <w:bCs/>
        <w:color w:val="FFFFFF" w:themeColor="background1"/>
      </w:rPr>
      <w:id w:val="-121542592"/>
      <w:docPartObj>
        <w:docPartGallery w:val="Page Numbers (Bottom of Page)"/>
        <w:docPartUnique/>
      </w:docPartObj>
    </w:sdtPr>
    <w:sdtContent>
      <w:p w14:paraId="5F8E387B" w14:textId="77777777" w:rsidR="002776AA" w:rsidRPr="00366E6F" w:rsidRDefault="002776AA" w:rsidP="00366E6F">
        <w:pPr>
          <w:framePr w:wrap="none" w:vAnchor="text" w:hAnchor="page" w:x="11298" w:y="9"/>
          <w:rPr>
            <w:rStyle w:val="Nmerodepgina"/>
            <w:rFonts w:ascii="Myriad Pro Black SemiCond" w:hAnsi="Myriad Pro Black SemiCond"/>
            <w:b/>
            <w:bCs/>
            <w:color w:val="FFFFFF" w:themeColor="background1"/>
          </w:rPr>
        </w:pPr>
        <w:r w:rsidRPr="00366E6F">
          <w:rPr>
            <w:rStyle w:val="Nmerodepgina"/>
            <w:rFonts w:ascii="Myriad Pro Black SemiCond" w:hAnsi="Myriad Pro Black SemiCond"/>
            <w:b/>
            <w:bCs/>
            <w:color w:val="FFFFFF" w:themeColor="background1"/>
          </w:rPr>
          <w:fldChar w:fldCharType="begin"/>
        </w:r>
        <w:r w:rsidRPr="00366E6F">
          <w:rPr>
            <w:rStyle w:val="Nmerodepgina"/>
            <w:rFonts w:ascii="Myriad Pro Black SemiCond" w:hAnsi="Myriad Pro Black SemiCond"/>
            <w:b/>
            <w:bCs/>
            <w:color w:val="FFFFFF" w:themeColor="background1"/>
          </w:rPr>
          <w:instrText xml:space="preserve"> PAGE </w:instrText>
        </w:r>
        <w:r w:rsidRPr="00366E6F">
          <w:rPr>
            <w:rStyle w:val="Nmerodepgina"/>
            <w:rFonts w:ascii="Myriad Pro Black SemiCond" w:hAnsi="Myriad Pro Black SemiCond"/>
            <w:b/>
            <w:bCs/>
            <w:color w:val="FFFFFF" w:themeColor="background1"/>
          </w:rPr>
          <w:fldChar w:fldCharType="separate"/>
        </w:r>
        <w:r w:rsidRPr="00366E6F">
          <w:rPr>
            <w:rStyle w:val="Nmerodepgina"/>
            <w:rFonts w:ascii="Myriad Pro Black SemiCond" w:hAnsi="Myriad Pro Black SemiCond"/>
            <w:b/>
            <w:bCs/>
            <w:noProof/>
            <w:color w:val="FFFFFF" w:themeColor="background1"/>
          </w:rPr>
          <w:t>1</w:t>
        </w:r>
        <w:r w:rsidRPr="00366E6F">
          <w:rPr>
            <w:rStyle w:val="Nmerodepgina"/>
            <w:rFonts w:ascii="Myriad Pro Black SemiCond" w:hAnsi="Myriad Pro Black SemiCond"/>
            <w:b/>
            <w:bCs/>
            <w:color w:val="FFFFFF" w:themeColor="background1"/>
          </w:rPr>
          <w:fldChar w:fldCharType="end"/>
        </w:r>
      </w:p>
    </w:sdtContent>
  </w:sdt>
  <w:sdt>
    <w:sdtPr>
      <w:rPr>
        <w:rStyle w:val="Nmerodepgina"/>
      </w:rPr>
      <w:id w:val="683864722"/>
      <w:docPartObj>
        <w:docPartGallery w:val="Page Numbers (Top of Page)"/>
        <w:docPartUnique/>
      </w:docPartObj>
    </w:sdtPr>
    <w:sdtContent>
      <w:p w14:paraId="434A3097" w14:textId="77777777" w:rsidR="00DE23AE" w:rsidRDefault="00DE23AE" w:rsidP="00DE23AE">
        <w:pPr>
          <w:pStyle w:val="Encabezado"/>
          <w:framePr w:w="799" w:h="399" w:hRule="exact" w:wrap="none" w:vAnchor="text" w:hAnchor="page" w:x="10613" w:y="-37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6E19B4C0" w14:textId="566F4063" w:rsidR="002776AA" w:rsidRDefault="002776AA" w:rsidP="00366E6F">
    <w:pPr>
      <w:ind w:right="360"/>
    </w:pPr>
    <w:r w:rsidRPr="00B33A29">
      <w:rPr>
        <w:noProof/>
      </w:rPr>
      <w:drawing>
        <wp:anchor distT="0" distB="0" distL="114300" distR="114300" simplePos="0" relativeHeight="251658241" behindDoc="1" locked="0" layoutInCell="1" allowOverlap="1" wp14:anchorId="34BCEB02" wp14:editId="4E906904">
          <wp:simplePos x="0" y="0"/>
          <wp:positionH relativeFrom="column">
            <wp:posOffset>-362267</wp:posOffset>
          </wp:positionH>
          <wp:positionV relativeFrom="paragraph">
            <wp:posOffset>-224790</wp:posOffset>
          </wp:positionV>
          <wp:extent cx="5829300" cy="53403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829300" cy="53403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38C86" w14:textId="2A0007C5" w:rsidR="002776AA" w:rsidRDefault="002776AA">
    <w:pPr>
      <w:pStyle w:val="Piedepgina"/>
    </w:pPr>
    <w:r w:rsidRPr="00B33A29">
      <w:rPr>
        <w:noProof/>
      </w:rPr>
      <w:drawing>
        <wp:anchor distT="0" distB="0" distL="114300" distR="114300" simplePos="0" relativeHeight="251658244" behindDoc="1" locked="0" layoutInCell="1" allowOverlap="1" wp14:anchorId="4F8118C6" wp14:editId="46FEF56D">
          <wp:simplePos x="0" y="0"/>
          <wp:positionH relativeFrom="margin">
            <wp:posOffset>-432435</wp:posOffset>
          </wp:positionH>
          <wp:positionV relativeFrom="margin">
            <wp:posOffset>7814945</wp:posOffset>
          </wp:positionV>
          <wp:extent cx="5817600" cy="532800"/>
          <wp:effectExtent l="0" t="0" r="0" b="635"/>
          <wp:wrapSquare wrapText="bothSides"/>
          <wp:docPr id="29"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817600" cy="532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71E31" w14:textId="77777777" w:rsidR="00F65575" w:rsidRDefault="00F65575" w:rsidP="00366E6F">
      <w:r>
        <w:separator/>
      </w:r>
    </w:p>
  </w:footnote>
  <w:footnote w:type="continuationSeparator" w:id="0">
    <w:p w14:paraId="22A0344C" w14:textId="77777777" w:rsidR="00F65575" w:rsidRDefault="00F65575" w:rsidP="00366E6F">
      <w:r>
        <w:continuationSeparator/>
      </w:r>
    </w:p>
  </w:footnote>
  <w:footnote w:type="continuationNotice" w:id="1">
    <w:p w14:paraId="4C16223F" w14:textId="77777777" w:rsidR="00F65575" w:rsidRDefault="00F65575"/>
  </w:footnote>
  <w:footnote w:id="2">
    <w:p w14:paraId="7AB1A9F1" w14:textId="564E5F1C" w:rsidR="00F6754F" w:rsidRPr="00333C5B" w:rsidRDefault="00F6754F">
      <w:pPr>
        <w:pStyle w:val="Textonotapie"/>
        <w:rPr>
          <w:rFonts w:ascii="Myriad Pro" w:hAnsi="Myriad Pro"/>
          <w:sz w:val="16"/>
          <w:szCs w:val="16"/>
        </w:rPr>
      </w:pPr>
      <w:r w:rsidRPr="0025006B">
        <w:rPr>
          <w:rFonts w:ascii="Myriad Pro" w:hAnsi="Myriad Pro"/>
          <w:sz w:val="16"/>
          <w:szCs w:val="16"/>
          <w:vertAlign w:val="superscript"/>
        </w:rPr>
        <w:footnoteRef/>
      </w:r>
      <w:r w:rsidRPr="00333C5B">
        <w:rPr>
          <w:rFonts w:ascii="Myriad Pro" w:hAnsi="Myriad Pro"/>
          <w:sz w:val="16"/>
          <w:szCs w:val="16"/>
        </w:rPr>
        <w:t xml:space="preserve"> Clasificación anterior: </w:t>
      </w:r>
      <w:r w:rsidR="001B5FE9">
        <w:rPr>
          <w:rFonts w:ascii="Myriad Pro" w:hAnsi="Myriad Pro"/>
          <w:sz w:val="16"/>
          <w:szCs w:val="16"/>
        </w:rPr>
        <w:t xml:space="preserve">Categoría </w:t>
      </w:r>
      <w:r w:rsidRPr="00333C5B">
        <w:rPr>
          <w:rFonts w:ascii="Myriad Pro" w:hAnsi="Myriad Pro"/>
          <w:sz w:val="16"/>
          <w:szCs w:val="16"/>
        </w:rPr>
        <w:t>BBB-</w:t>
      </w:r>
      <w:r w:rsidR="001B5FE9">
        <w:rPr>
          <w:rFonts w:ascii="Myriad Pro" w:hAnsi="Myriad Pro"/>
          <w:sz w:val="16"/>
          <w:szCs w:val="16"/>
        </w:rPr>
        <w:t>.</w:t>
      </w:r>
    </w:p>
  </w:footnote>
  <w:footnote w:id="3">
    <w:p w14:paraId="392628BD" w14:textId="17A39B14" w:rsidR="001B5FE9" w:rsidRPr="00F30E56" w:rsidRDefault="001B5FE9" w:rsidP="001B5FE9">
      <w:pPr>
        <w:pStyle w:val="Textonotapie"/>
      </w:pPr>
      <w:r w:rsidRPr="00F30E56">
        <w:rPr>
          <w:rFonts w:ascii="Myriad Pro" w:hAnsi="Myriad Pro"/>
          <w:sz w:val="16"/>
          <w:szCs w:val="16"/>
          <w:vertAlign w:val="superscript"/>
        </w:rPr>
        <w:footnoteRef/>
      </w:r>
      <w:r w:rsidRPr="00F30E56">
        <w:rPr>
          <w:rFonts w:ascii="Myriad Pro" w:hAnsi="Myriad Pro"/>
          <w:sz w:val="16"/>
          <w:szCs w:val="16"/>
        </w:rPr>
        <w:t xml:space="preserve"> Tendencia anterior: Favorable</w:t>
      </w:r>
      <w:r>
        <w:rPr>
          <w:rFonts w:ascii="Myriad Pro" w:hAnsi="Myriad Pro"/>
          <w:sz w:val="16"/>
          <w:szCs w:val="16"/>
        </w:rPr>
        <w:t>.</w:t>
      </w:r>
    </w:p>
  </w:footnote>
  <w:footnote w:id="4">
    <w:p w14:paraId="0A9902D1" w14:textId="7B8584C0" w:rsidR="006E631E" w:rsidRPr="00795508" w:rsidRDefault="006E631E" w:rsidP="00C312F7">
      <w:pPr>
        <w:pStyle w:val="Textonotapie"/>
        <w:jc w:val="both"/>
        <w:rPr>
          <w:rFonts w:ascii="Myriad Pro" w:hAnsi="Myriad Pro"/>
          <w:sz w:val="16"/>
          <w:szCs w:val="16"/>
          <w:lang w:val="es-CL"/>
        </w:rPr>
      </w:pPr>
      <w:r w:rsidRPr="00F30E56">
        <w:rPr>
          <w:rStyle w:val="Refdenotaalpie"/>
          <w:rFonts w:ascii="Myriad Pro" w:hAnsi="Myriad Pro"/>
          <w:sz w:val="16"/>
          <w:szCs w:val="16"/>
        </w:rPr>
        <w:footnoteRef/>
      </w:r>
      <w:r w:rsidRPr="00F30E56">
        <w:rPr>
          <w:rFonts w:ascii="Myriad Pro" w:hAnsi="Myriad Pro"/>
          <w:sz w:val="16"/>
          <w:szCs w:val="16"/>
        </w:rPr>
        <w:t xml:space="preserve"> </w:t>
      </w:r>
      <w:r w:rsidR="00CB52CF" w:rsidRPr="00F30E56">
        <w:rPr>
          <w:rFonts w:ascii="Myriad Pro" w:hAnsi="Myriad Pro"/>
          <w:sz w:val="16"/>
          <w:szCs w:val="16"/>
          <w:lang w:val="es-CL"/>
        </w:rPr>
        <w:t>Corresponde a los últimos EEFF disponibles. Complementariamente, el análisis considera información proporcionada por el cliente</w:t>
      </w:r>
      <w:r w:rsidR="00795508" w:rsidRPr="00F30E56">
        <w:rPr>
          <w:rFonts w:ascii="Myriad Pro" w:hAnsi="Myriad Pro"/>
          <w:sz w:val="16"/>
          <w:szCs w:val="16"/>
          <w:lang w:val="es-CL"/>
        </w:rPr>
        <w:t xml:space="preserve"> y SUSESO a junio de 2022.</w:t>
      </w:r>
    </w:p>
  </w:footnote>
  <w:footnote w:id="5">
    <w:p w14:paraId="27910D39" w14:textId="65595E14" w:rsidR="00AB5C58" w:rsidRPr="006114C0" w:rsidRDefault="00AB5C58">
      <w:pPr>
        <w:pStyle w:val="Textonotapie"/>
      </w:pPr>
      <w:r w:rsidRPr="0025006B">
        <w:rPr>
          <w:rStyle w:val="Refdenotaalpie"/>
          <w:rFonts w:ascii="Myriad Pro" w:hAnsi="Myriad Pro"/>
          <w:sz w:val="16"/>
          <w:szCs w:val="16"/>
        </w:rPr>
        <w:footnoteRef/>
      </w:r>
      <w:r w:rsidR="0025006B" w:rsidRPr="0025006B">
        <w:rPr>
          <w:rFonts w:ascii="Myriad Pro" w:hAnsi="Myriad Pro"/>
        </w:rPr>
        <w:t xml:space="preserve"> </w:t>
      </w:r>
      <w:r w:rsidR="0025006B">
        <w:rPr>
          <w:rFonts w:ascii="Myriad Pro" w:hAnsi="Myriad Pro"/>
          <w:sz w:val="16"/>
          <w:szCs w:val="16"/>
        </w:rPr>
        <w:t>Compuesto por Otros pasivos financieros, corrientes y no corrientes</w:t>
      </w:r>
      <w:r w:rsidR="005268CC">
        <w:rPr>
          <w:rFonts w:ascii="Myriad Pro" w:hAnsi="Myriad Pro"/>
          <w:sz w:val="16"/>
          <w:szCs w:val="16"/>
        </w:rPr>
        <w:t>,</w:t>
      </w:r>
      <w:r w:rsidR="00717C08">
        <w:rPr>
          <w:rFonts w:ascii="Myriad Pro" w:hAnsi="Myriad Pro"/>
          <w:sz w:val="16"/>
          <w:szCs w:val="16"/>
        </w:rPr>
        <w:t xml:space="preserve"> y Pasivos por arrendamientos, corrientes y no corrientes</w:t>
      </w:r>
      <w:r w:rsidR="005268CC">
        <w:rPr>
          <w:rFonts w:ascii="Myriad Pro" w:hAnsi="Myriad Pro"/>
          <w:sz w:val="16"/>
          <w:szCs w:val="16"/>
        </w:rPr>
        <w:t>.</w:t>
      </w:r>
    </w:p>
  </w:footnote>
  <w:footnote w:id="6">
    <w:p w14:paraId="28182A48" w14:textId="35B61975" w:rsidR="00625B9F" w:rsidRPr="00971ADD" w:rsidRDefault="00625B9F" w:rsidP="00C312F7">
      <w:pPr>
        <w:pStyle w:val="Textonotapie"/>
        <w:jc w:val="both"/>
        <w:rPr>
          <w:rFonts w:ascii="Myriad Pro" w:hAnsi="Myriad Pro"/>
        </w:rPr>
      </w:pPr>
      <w:r w:rsidRPr="00971ADD">
        <w:rPr>
          <w:rStyle w:val="Refdenotaalpie"/>
          <w:rFonts w:ascii="Myriad Pro" w:hAnsi="Myriad Pro"/>
          <w:sz w:val="16"/>
          <w:szCs w:val="16"/>
        </w:rPr>
        <w:footnoteRef/>
      </w:r>
      <w:r w:rsidRPr="00971ADD">
        <w:rPr>
          <w:rStyle w:val="Refdenotaalpie"/>
          <w:rFonts w:ascii="Myriad Pro" w:hAnsi="Myriad Pro"/>
          <w:sz w:val="16"/>
          <w:szCs w:val="16"/>
        </w:rPr>
        <w:t xml:space="preserve"> </w:t>
      </w:r>
      <w:r w:rsidR="00AC5AD9" w:rsidRPr="00971ADD">
        <w:rPr>
          <w:rFonts w:ascii="Myriad Pro" w:hAnsi="Myriad Pro"/>
          <w:sz w:val="16"/>
          <w:szCs w:val="16"/>
        </w:rPr>
        <w:t xml:space="preserve">Actualmente, la corporación también es fiscalizada por </w:t>
      </w:r>
      <w:r w:rsidR="00AC5AD9" w:rsidRPr="00474FFF">
        <w:rPr>
          <w:rFonts w:ascii="Myriad Pro" w:hAnsi="Myriad Pro"/>
          <w:sz w:val="16"/>
          <w:szCs w:val="16"/>
        </w:rPr>
        <w:t>la Comisión para el Mercado Financiero, ya que cuenta con cuatro líneas de bonos inscritas y con emisiones vigentes en los registros de esta institución.</w:t>
      </w:r>
    </w:p>
  </w:footnote>
  <w:footnote w:id="7">
    <w:p w14:paraId="5EFFAF69" w14:textId="5502D9F3" w:rsidR="00F804CE" w:rsidRDefault="00F804CE" w:rsidP="00C312F7">
      <w:pPr>
        <w:pStyle w:val="Textonotapie"/>
        <w:jc w:val="both"/>
      </w:pPr>
      <w:r w:rsidRPr="00971ADD">
        <w:rPr>
          <w:rStyle w:val="Refdenotaalpie"/>
          <w:rFonts w:ascii="Myriad Pro" w:hAnsi="Myriad Pro"/>
          <w:sz w:val="16"/>
          <w:szCs w:val="16"/>
        </w:rPr>
        <w:footnoteRef/>
      </w:r>
      <w:r w:rsidRPr="00971ADD">
        <w:rPr>
          <w:rStyle w:val="Refdenotaalpie"/>
          <w:rFonts w:ascii="Myriad Pro" w:hAnsi="Myriad Pro"/>
          <w:sz w:val="16"/>
          <w:szCs w:val="16"/>
        </w:rPr>
        <w:t xml:space="preserve"> </w:t>
      </w:r>
      <w:r w:rsidR="00FA600E" w:rsidRPr="00971ADD">
        <w:rPr>
          <w:rFonts w:ascii="Myriad Pro" w:hAnsi="Myriad Pro"/>
          <w:sz w:val="16"/>
          <w:szCs w:val="16"/>
        </w:rPr>
        <w:t>Incluye ingresos de actividades ordinarias y otros ingresos por naturaleza.</w:t>
      </w:r>
    </w:p>
  </w:footnote>
  <w:footnote w:id="8">
    <w:p w14:paraId="5389FFA1" w14:textId="77777777" w:rsidR="00610EC6" w:rsidRPr="00E40AFA" w:rsidRDefault="00610EC6" w:rsidP="00C312F7">
      <w:pPr>
        <w:pStyle w:val="Textonotapie"/>
        <w:jc w:val="both"/>
        <w:rPr>
          <w:rFonts w:ascii="Myriad Pro" w:eastAsiaTheme="minorHAnsi" w:hAnsi="Myriad Pro" w:cstheme="minorBidi"/>
          <w:sz w:val="16"/>
          <w:szCs w:val="16"/>
          <w:lang w:val="es-CL" w:eastAsia="en-US"/>
        </w:rPr>
      </w:pPr>
      <w:r w:rsidRPr="0096555B">
        <w:rPr>
          <w:rStyle w:val="Refdenotaalpie"/>
          <w:rFonts w:ascii="Myriad Pro" w:hAnsi="Myriad Pro"/>
          <w:sz w:val="16"/>
          <w:szCs w:val="16"/>
        </w:rPr>
        <w:footnoteRef/>
      </w:r>
      <w:r w:rsidRPr="0096555B">
        <w:rPr>
          <w:rFonts w:ascii="Myriad Pro" w:hAnsi="Myriad Pro"/>
          <w:sz w:val="16"/>
          <w:szCs w:val="16"/>
        </w:rPr>
        <w:t xml:space="preserve"> </w:t>
      </w:r>
      <w:r w:rsidRPr="0096555B">
        <w:rPr>
          <w:rFonts w:ascii="Myriad Pro" w:eastAsiaTheme="minorHAnsi" w:hAnsi="Myriad Pro" w:cstheme="minorBidi"/>
          <w:sz w:val="16"/>
          <w:szCs w:val="16"/>
          <w:lang w:val="es-CL" w:eastAsia="en-US"/>
        </w:rPr>
        <w:t>Considera colocaciones de crédito social corriente y no corriente + deudores previsionales (neto).</w:t>
      </w:r>
    </w:p>
    <w:p w14:paraId="7020B381" w14:textId="77777777" w:rsidR="00610EC6" w:rsidRPr="0049422C" w:rsidRDefault="00610EC6" w:rsidP="00610EC6">
      <w:pPr>
        <w:pStyle w:val="Textonotapie"/>
        <w:rPr>
          <w:rFonts w:ascii="Myriad Pro" w:hAnsi="Myriad Pro"/>
          <w:sz w:val="16"/>
          <w:szCs w:val="16"/>
        </w:rPr>
      </w:pPr>
    </w:p>
  </w:footnote>
  <w:footnote w:id="9">
    <w:p w14:paraId="66973CDB" w14:textId="3493BECE" w:rsidR="00660404" w:rsidRPr="00C429AF" w:rsidRDefault="00660404" w:rsidP="006401C6">
      <w:pPr>
        <w:pStyle w:val="Textonotapie"/>
        <w:jc w:val="both"/>
        <w:rPr>
          <w:rFonts w:ascii="Myriad Pro" w:hAnsi="Myriad Pro"/>
          <w:sz w:val="16"/>
          <w:szCs w:val="16"/>
        </w:rPr>
      </w:pPr>
      <w:r w:rsidRPr="00971ADD">
        <w:rPr>
          <w:rStyle w:val="Refdenotaalpie"/>
          <w:rFonts w:ascii="Myriad Pro" w:hAnsi="Myriad Pro"/>
          <w:sz w:val="16"/>
          <w:szCs w:val="16"/>
        </w:rPr>
        <w:footnoteRef/>
      </w:r>
      <w:r w:rsidRPr="00971ADD">
        <w:rPr>
          <w:rFonts w:ascii="Myriad Pro" w:hAnsi="Myriad Pro"/>
          <w:sz w:val="16"/>
          <w:szCs w:val="16"/>
        </w:rPr>
        <w:t xml:space="preserve"> </w:t>
      </w:r>
      <w:r w:rsidR="002242A2" w:rsidRPr="00971ADD">
        <w:rPr>
          <w:rFonts w:ascii="Myriad Pro" w:hAnsi="Myriad Pro"/>
          <w:sz w:val="16"/>
          <w:szCs w:val="16"/>
        </w:rPr>
        <w:t xml:space="preserve">Considera las cuentas del estado de resultados: </w:t>
      </w:r>
      <w:r w:rsidR="006E1CAE">
        <w:rPr>
          <w:rFonts w:ascii="Myriad Pro" w:hAnsi="Myriad Pro"/>
          <w:sz w:val="16"/>
          <w:szCs w:val="16"/>
        </w:rPr>
        <w:t xml:space="preserve"> </w:t>
      </w:r>
      <w:r w:rsidR="003C057C">
        <w:rPr>
          <w:rFonts w:ascii="Myriad Pro" w:hAnsi="Myriad Pro"/>
          <w:sz w:val="16"/>
          <w:szCs w:val="16"/>
        </w:rPr>
        <w:t>G</w:t>
      </w:r>
      <w:r w:rsidR="002242A2" w:rsidRPr="00971ADD">
        <w:rPr>
          <w:rFonts w:ascii="Myriad Pro" w:hAnsi="Myriad Pro"/>
          <w:sz w:val="16"/>
          <w:szCs w:val="16"/>
        </w:rPr>
        <w:t xml:space="preserve">astos por beneficios a los empleados, gasto por depreciación, pérdidas por </w:t>
      </w:r>
      <w:r w:rsidR="002242A2" w:rsidRPr="00C429AF">
        <w:rPr>
          <w:rFonts w:ascii="Myriad Pro" w:hAnsi="Myriad Pro"/>
          <w:sz w:val="16"/>
          <w:szCs w:val="16"/>
        </w:rPr>
        <w:t>deterioro de valor y otros gastos por naturaleza.</w:t>
      </w:r>
    </w:p>
  </w:footnote>
  <w:footnote w:id="10">
    <w:p w14:paraId="7E37B49F" w14:textId="5077726E" w:rsidR="00D9112D" w:rsidRDefault="00D9112D" w:rsidP="006401C6">
      <w:pPr>
        <w:pStyle w:val="Textonotapie"/>
        <w:jc w:val="both"/>
      </w:pPr>
      <w:r w:rsidRPr="00C429AF">
        <w:rPr>
          <w:rStyle w:val="Refdenotaalpie"/>
          <w:rFonts w:ascii="Myriad Pro" w:hAnsi="Myriad Pro"/>
          <w:sz w:val="16"/>
          <w:szCs w:val="16"/>
        </w:rPr>
        <w:footnoteRef/>
      </w:r>
      <w:r w:rsidRPr="00C429AF">
        <w:rPr>
          <w:rStyle w:val="Refdenotaalpie"/>
          <w:rFonts w:ascii="Myriad Pro" w:hAnsi="Myriad Pro"/>
          <w:sz w:val="16"/>
          <w:szCs w:val="16"/>
        </w:rPr>
        <w:t xml:space="preserve"> </w:t>
      </w:r>
      <w:r w:rsidR="009B7B62" w:rsidRPr="00C429AF">
        <w:rPr>
          <w:rFonts w:ascii="Myriad Pro" w:hAnsi="Myriad Pro"/>
          <w:sz w:val="16"/>
          <w:szCs w:val="16"/>
        </w:rPr>
        <w:t xml:space="preserve">Considera colocaciones de crédito social corriente y no corriente + </w:t>
      </w:r>
      <w:r w:rsidR="00E40AFA" w:rsidRPr="00C429AF">
        <w:rPr>
          <w:rFonts w:ascii="Myriad Pro" w:hAnsi="Myriad Pro"/>
          <w:sz w:val="16"/>
          <w:szCs w:val="16"/>
        </w:rPr>
        <w:t>deudores previsionales (neto).</w:t>
      </w:r>
    </w:p>
  </w:footnote>
  <w:footnote w:id="11">
    <w:p w14:paraId="75E3B2DA" w14:textId="77777777" w:rsidR="00620D43" w:rsidRPr="00C429AF" w:rsidRDefault="00620D43" w:rsidP="006401C6">
      <w:pPr>
        <w:pStyle w:val="Textonotapie"/>
        <w:jc w:val="both"/>
        <w:rPr>
          <w:rFonts w:ascii="Myriad Pro" w:eastAsiaTheme="minorHAnsi" w:hAnsi="Myriad Pro" w:cstheme="minorBidi"/>
          <w:sz w:val="16"/>
          <w:szCs w:val="16"/>
          <w:lang w:val="es-CL" w:eastAsia="en-US"/>
        </w:rPr>
      </w:pPr>
      <w:r w:rsidRPr="00C429AF">
        <w:rPr>
          <w:rFonts w:ascii="Myriad Pro" w:eastAsiaTheme="minorHAnsi" w:hAnsi="Myriad Pro" w:cstheme="minorBidi"/>
          <w:sz w:val="16"/>
          <w:szCs w:val="16"/>
          <w:vertAlign w:val="superscript"/>
          <w:lang w:val="es-CL" w:eastAsia="en-US"/>
        </w:rPr>
        <w:footnoteRef/>
      </w:r>
      <w:r w:rsidRPr="00C429AF">
        <w:rPr>
          <w:rFonts w:ascii="Myriad Pro" w:eastAsiaTheme="minorHAnsi" w:hAnsi="Myriad Pro" w:cstheme="minorBidi"/>
          <w:sz w:val="16"/>
          <w:szCs w:val="16"/>
          <w:vertAlign w:val="superscript"/>
          <w:lang w:val="es-CL" w:eastAsia="en-US"/>
        </w:rPr>
        <w:t xml:space="preserve"> </w:t>
      </w:r>
      <w:r w:rsidRPr="00C429AF">
        <w:rPr>
          <w:rFonts w:ascii="Myriad Pro" w:eastAsiaTheme="minorHAnsi" w:hAnsi="Myriad Pro" w:cstheme="minorBidi"/>
          <w:sz w:val="16"/>
          <w:szCs w:val="16"/>
          <w:lang w:val="es-CL" w:eastAsia="en-US"/>
        </w:rPr>
        <w:t>Considera colocaciones de crédito social corriente y no corriente + deudores previsionales (neto).</w:t>
      </w:r>
    </w:p>
  </w:footnote>
  <w:footnote w:id="12">
    <w:p w14:paraId="45438FF2" w14:textId="15D0DA94" w:rsidR="00420D2F" w:rsidRDefault="00420D2F">
      <w:pPr>
        <w:pStyle w:val="Textonotapie"/>
      </w:pPr>
      <w:r w:rsidRPr="00C429AF">
        <w:rPr>
          <w:rFonts w:ascii="Myriad Pro" w:eastAsiaTheme="minorHAnsi" w:hAnsi="Myriad Pro" w:cstheme="minorBidi"/>
          <w:sz w:val="16"/>
          <w:szCs w:val="16"/>
          <w:vertAlign w:val="superscript"/>
          <w:lang w:val="es-CL" w:eastAsia="en-US"/>
        </w:rPr>
        <w:footnoteRef/>
      </w:r>
      <w:r w:rsidRPr="00C429AF">
        <w:rPr>
          <w:vertAlign w:val="superscript"/>
        </w:rPr>
        <w:t xml:space="preserve"> </w:t>
      </w:r>
      <w:r w:rsidRPr="00C429AF">
        <w:rPr>
          <w:rFonts w:ascii="Myriad Pro" w:eastAsiaTheme="minorHAnsi" w:hAnsi="Myriad Pro" w:cstheme="minorBidi"/>
          <w:sz w:val="16"/>
          <w:szCs w:val="16"/>
          <w:lang w:val="es-CL" w:eastAsia="en-US"/>
        </w:rPr>
        <w:t>Considera colocaciones de crédito social corriente y no corriente + deudores previsionales (neto).</w:t>
      </w:r>
    </w:p>
  </w:footnote>
  <w:footnote w:id="13">
    <w:p w14:paraId="5BAE23BA" w14:textId="275CE6A6" w:rsidR="009C6865" w:rsidRPr="00343894" w:rsidRDefault="009C6865" w:rsidP="009C6865">
      <w:pPr>
        <w:pStyle w:val="Textonotapie"/>
        <w:rPr>
          <w:vertAlign w:val="superscript"/>
        </w:rPr>
      </w:pPr>
      <w:r w:rsidRPr="00343894">
        <w:rPr>
          <w:rFonts w:ascii="Myriad Pro" w:eastAsiaTheme="minorHAnsi" w:hAnsi="Myriad Pro" w:cstheme="minorBidi"/>
          <w:sz w:val="16"/>
          <w:szCs w:val="16"/>
          <w:vertAlign w:val="superscript"/>
          <w:lang w:val="es-CL" w:eastAsia="en-US"/>
        </w:rPr>
        <w:footnoteRef/>
      </w:r>
      <w:r w:rsidRPr="00343894">
        <w:rPr>
          <w:vertAlign w:val="superscript"/>
        </w:rPr>
        <w:t xml:space="preserve"> </w:t>
      </w:r>
      <w:r>
        <w:rPr>
          <w:rFonts w:ascii="Myriad Pro" w:eastAsiaTheme="minorHAnsi" w:hAnsi="Myriad Pro" w:cstheme="minorBidi"/>
          <w:sz w:val="16"/>
          <w:szCs w:val="16"/>
          <w:lang w:val="es-CL" w:eastAsia="en-US"/>
        </w:rPr>
        <w:t xml:space="preserve">Mora </w:t>
      </w:r>
      <w:r w:rsidR="005B4FF6">
        <w:rPr>
          <w:rFonts w:ascii="Myriad Pro" w:eastAsiaTheme="minorHAnsi" w:hAnsi="Myriad Pro" w:cstheme="minorBidi"/>
          <w:sz w:val="16"/>
          <w:szCs w:val="16"/>
          <w:lang w:val="es-CL" w:eastAsia="en-US"/>
        </w:rPr>
        <w:t>mayor a</w:t>
      </w:r>
      <w:r>
        <w:rPr>
          <w:rFonts w:ascii="Myriad Pro" w:eastAsiaTheme="minorHAnsi" w:hAnsi="Myriad Pro" w:cstheme="minorBidi"/>
          <w:sz w:val="16"/>
          <w:szCs w:val="16"/>
          <w:lang w:val="es-CL" w:eastAsia="en-US"/>
        </w:rPr>
        <w:t xml:space="preserve"> 6</w:t>
      </w:r>
      <w:r w:rsidR="00AF43AB">
        <w:rPr>
          <w:rFonts w:ascii="Myriad Pro" w:eastAsiaTheme="minorHAnsi" w:hAnsi="Myriad Pro" w:cstheme="minorBidi"/>
          <w:sz w:val="16"/>
          <w:szCs w:val="16"/>
          <w:lang w:val="es-CL" w:eastAsia="en-US"/>
        </w:rPr>
        <w:t>0</w:t>
      </w:r>
      <w:r>
        <w:rPr>
          <w:rFonts w:ascii="Myriad Pro" w:eastAsiaTheme="minorHAnsi" w:hAnsi="Myriad Pro" w:cstheme="minorBidi"/>
          <w:sz w:val="16"/>
          <w:szCs w:val="16"/>
          <w:lang w:val="es-CL" w:eastAsia="en-US"/>
        </w:rPr>
        <w:t xml:space="preserve"> días.</w:t>
      </w:r>
    </w:p>
  </w:footnote>
  <w:footnote w:id="14">
    <w:p w14:paraId="223670BC" w14:textId="77777777" w:rsidR="00AC7CEE" w:rsidRPr="001A7843" w:rsidRDefault="00AC7CEE" w:rsidP="00AC7CEE">
      <w:pPr>
        <w:pStyle w:val="Textonotapie"/>
        <w:rPr>
          <w:rFonts w:ascii="Myriad Pro" w:eastAsiaTheme="minorHAnsi" w:hAnsi="Myriad Pro" w:cstheme="minorBidi"/>
          <w:sz w:val="16"/>
          <w:szCs w:val="16"/>
          <w:lang w:val="es-CL" w:eastAsia="en-US"/>
        </w:rPr>
      </w:pPr>
      <w:r w:rsidRPr="001A7843">
        <w:rPr>
          <w:rFonts w:ascii="Myriad Pro" w:eastAsiaTheme="minorHAnsi" w:hAnsi="Myriad Pro" w:cstheme="minorBidi"/>
          <w:sz w:val="16"/>
          <w:szCs w:val="16"/>
          <w:vertAlign w:val="superscript"/>
          <w:lang w:val="es-CL" w:eastAsia="en-US"/>
        </w:rPr>
        <w:footnoteRef/>
      </w:r>
      <w:r>
        <w:t xml:space="preserve"> </w:t>
      </w:r>
      <w:r w:rsidRPr="001A7843">
        <w:rPr>
          <w:rFonts w:ascii="Myriad Pro" w:eastAsiaTheme="minorHAnsi" w:hAnsi="Myriad Pro" w:cstheme="minorBidi"/>
          <w:sz w:val="16"/>
          <w:szCs w:val="16"/>
          <w:lang w:val="es-CL" w:eastAsia="en-US"/>
        </w:rPr>
        <w:t>Ingresos / colocaciones promedio - tasa costo promedio ponderada</w:t>
      </w:r>
      <w:r>
        <w:rPr>
          <w:rFonts w:ascii="Myriad Pro" w:eastAsiaTheme="minorHAnsi" w:hAnsi="Myriad Pro" w:cstheme="minorBidi"/>
          <w:sz w:val="16"/>
          <w:szCs w:val="16"/>
          <w:lang w:val="es-CL" w:eastAsia="en-US"/>
        </w:rPr>
        <w:t>.</w:t>
      </w:r>
    </w:p>
  </w:footnote>
  <w:footnote w:id="15">
    <w:p w14:paraId="2F47B16B" w14:textId="6A6BBE81" w:rsidR="00112A16" w:rsidRDefault="00112A16" w:rsidP="00132CE4">
      <w:pPr>
        <w:pStyle w:val="Textonotapie"/>
        <w:jc w:val="both"/>
      </w:pPr>
      <w:r w:rsidRPr="00112A16">
        <w:rPr>
          <w:rFonts w:ascii="Myriad Pro" w:eastAsiaTheme="minorHAnsi" w:hAnsi="Myriad Pro" w:cstheme="minorBidi"/>
          <w:sz w:val="16"/>
          <w:szCs w:val="16"/>
          <w:vertAlign w:val="superscript"/>
          <w:lang w:val="es-CL" w:eastAsia="en-US"/>
        </w:rPr>
        <w:footnoteRef/>
      </w:r>
      <w:r w:rsidR="00132CE4">
        <w:t xml:space="preserve"> </w:t>
      </w:r>
      <w:r w:rsidRPr="003C619D">
        <w:rPr>
          <w:rFonts w:ascii="Myriad Pro" w:eastAsiaTheme="minorHAnsi" w:hAnsi="Myriad Pro" w:cstheme="minorBidi"/>
          <w:sz w:val="16"/>
          <w:szCs w:val="16"/>
          <w:lang w:val="es-CL" w:eastAsia="en-US"/>
        </w:rPr>
        <w:t xml:space="preserve">De acuerdo con diversos estudios, </w:t>
      </w:r>
      <w:r>
        <w:rPr>
          <w:rFonts w:ascii="Myriad Pro" w:eastAsiaTheme="minorHAnsi" w:hAnsi="Myriad Pro" w:cstheme="minorBidi"/>
          <w:sz w:val="16"/>
          <w:szCs w:val="16"/>
          <w:lang w:val="es-CL" w:eastAsia="en-US"/>
        </w:rPr>
        <w:t xml:space="preserve">entre ellos, </w:t>
      </w:r>
      <w:r w:rsidRPr="004738FA">
        <w:rPr>
          <w:rFonts w:ascii="Myriad Pro" w:eastAsiaTheme="minorHAnsi" w:hAnsi="Myriad Pro" w:cstheme="minorBidi"/>
          <w:sz w:val="16"/>
          <w:szCs w:val="16"/>
          <w:lang w:val="es-CL" w:eastAsia="en-US"/>
        </w:rPr>
        <w:t>el documento de la consultora Deloitte "Panorama regulatorio del sector financiero para Latinoamérica"</w:t>
      </w:r>
      <w:r>
        <w:rPr>
          <w:rFonts w:ascii="Myriad Pro" w:eastAsiaTheme="minorHAnsi" w:hAnsi="Myriad Pro" w:cstheme="minorBidi"/>
          <w:sz w:val="16"/>
          <w:szCs w:val="16"/>
          <w:lang w:val="es-CL" w:eastAsia="en-US"/>
        </w:rPr>
        <w:t xml:space="preserve"> (2019), </w:t>
      </w:r>
      <w:r w:rsidRPr="003C619D">
        <w:rPr>
          <w:rFonts w:ascii="Myriad Pro" w:eastAsiaTheme="minorHAnsi" w:hAnsi="Myriad Pro" w:cstheme="minorBidi"/>
          <w:sz w:val="16"/>
          <w:szCs w:val="16"/>
          <w:lang w:val="es-CL" w:eastAsia="en-US"/>
        </w:rPr>
        <w:t xml:space="preserve">Chile se </w:t>
      </w:r>
      <w:r>
        <w:rPr>
          <w:rFonts w:ascii="Myriad Pro" w:eastAsiaTheme="minorHAnsi" w:hAnsi="Myriad Pro" w:cstheme="minorBidi"/>
          <w:sz w:val="16"/>
          <w:szCs w:val="16"/>
          <w:lang w:val="es-CL" w:eastAsia="en-US"/>
        </w:rPr>
        <w:t>posiciona</w:t>
      </w:r>
      <w:r w:rsidRPr="003C619D">
        <w:rPr>
          <w:rFonts w:ascii="Myriad Pro" w:eastAsiaTheme="minorHAnsi" w:hAnsi="Myriad Pro" w:cstheme="minorBidi"/>
          <w:sz w:val="16"/>
          <w:szCs w:val="16"/>
          <w:lang w:val="es-CL" w:eastAsia="en-US"/>
        </w:rPr>
        <w:t xml:space="preserve"> como un país de relevancia en relación con la proporción de adultos con al menos una cuenta en una institución financiera. Sin embargo, al </w:t>
      </w:r>
      <w:r>
        <w:rPr>
          <w:rFonts w:ascii="Myriad Pro" w:eastAsiaTheme="minorHAnsi" w:hAnsi="Myriad Pro" w:cstheme="minorBidi"/>
          <w:sz w:val="16"/>
          <w:szCs w:val="16"/>
          <w:lang w:val="es-CL" w:eastAsia="en-US"/>
        </w:rPr>
        <w:t>contrastarlo</w:t>
      </w:r>
      <w:r w:rsidRPr="003C619D">
        <w:rPr>
          <w:rFonts w:ascii="Myriad Pro" w:eastAsiaTheme="minorHAnsi" w:hAnsi="Myriad Pro" w:cstheme="minorBidi"/>
          <w:sz w:val="16"/>
          <w:szCs w:val="16"/>
          <w:lang w:val="es-CL" w:eastAsia="en-US"/>
        </w:rPr>
        <w:t xml:space="preserve"> con países desarrollados aún queda espacio para llegar a los niveles de bancarización que exhiben esas economías.</w:t>
      </w:r>
    </w:p>
  </w:footnote>
  <w:footnote w:id="16">
    <w:p w14:paraId="251953D7" w14:textId="6F40BC55" w:rsidR="00CB7377" w:rsidRPr="00971ADD" w:rsidRDefault="00CB7377" w:rsidP="00C312F7">
      <w:pPr>
        <w:pStyle w:val="Textonotapie"/>
        <w:jc w:val="both"/>
        <w:rPr>
          <w:rFonts w:ascii="Myriad Pro" w:eastAsiaTheme="minorHAnsi" w:hAnsi="Myriad Pro" w:cstheme="minorBidi"/>
          <w:sz w:val="16"/>
          <w:szCs w:val="16"/>
          <w:vertAlign w:val="superscript"/>
          <w:lang w:val="es-CL" w:eastAsia="en-US"/>
        </w:rPr>
      </w:pPr>
      <w:r w:rsidRPr="00971ADD">
        <w:rPr>
          <w:rFonts w:ascii="Myriad Pro" w:eastAsiaTheme="minorHAnsi" w:hAnsi="Myriad Pro" w:cstheme="minorBidi"/>
          <w:sz w:val="16"/>
          <w:szCs w:val="16"/>
          <w:vertAlign w:val="superscript"/>
          <w:lang w:val="es-CL" w:eastAsia="en-US"/>
        </w:rPr>
        <w:footnoteRef/>
      </w:r>
      <w:r w:rsidRPr="00971ADD">
        <w:rPr>
          <w:rFonts w:ascii="Myriad Pro" w:eastAsiaTheme="minorHAnsi" w:hAnsi="Myriad Pro" w:cstheme="minorBidi"/>
          <w:sz w:val="16"/>
          <w:szCs w:val="16"/>
          <w:vertAlign w:val="superscript"/>
          <w:lang w:val="es-CL" w:eastAsia="en-US"/>
        </w:rPr>
        <w:t xml:space="preserve"> </w:t>
      </w:r>
      <w:r w:rsidR="009A5493" w:rsidRPr="00971ADD">
        <w:rPr>
          <w:rFonts w:ascii="Myriad Pro" w:hAnsi="Myriad Pro"/>
          <w:sz w:val="16"/>
          <w:szCs w:val="16"/>
        </w:rPr>
        <w:t>Consiste en prestaciones en dinero, en especies y en servicios para los trabajadores afiliados y sus familias.</w:t>
      </w:r>
    </w:p>
  </w:footnote>
  <w:footnote w:id="17">
    <w:p w14:paraId="0A16214E" w14:textId="1F26DA27" w:rsidR="0087020D" w:rsidRDefault="0087020D" w:rsidP="00C312F7">
      <w:pPr>
        <w:pStyle w:val="Textonotapie"/>
        <w:jc w:val="both"/>
      </w:pPr>
      <w:r w:rsidRPr="00971ADD">
        <w:rPr>
          <w:rFonts w:ascii="Myriad Pro" w:eastAsiaTheme="minorHAnsi" w:hAnsi="Myriad Pro" w:cstheme="minorBidi"/>
          <w:sz w:val="16"/>
          <w:szCs w:val="16"/>
          <w:vertAlign w:val="superscript"/>
          <w:lang w:val="es-CL" w:eastAsia="en-US"/>
        </w:rPr>
        <w:footnoteRef/>
      </w:r>
      <w:r w:rsidRPr="00971ADD">
        <w:rPr>
          <w:rFonts w:ascii="Myriad Pro" w:hAnsi="Myriad Pro"/>
          <w:sz w:val="16"/>
          <w:szCs w:val="16"/>
        </w:rPr>
        <w:t xml:space="preserve"> </w:t>
      </w:r>
      <w:r w:rsidR="009A6C38" w:rsidRPr="00971ADD">
        <w:rPr>
          <w:rFonts w:ascii="Myriad Pro" w:hAnsi="Myriad Pro"/>
          <w:sz w:val="16"/>
          <w:szCs w:val="16"/>
        </w:rPr>
        <w:t>Los regímenes complementarios son de adscripción voluntaria y se establecen mediante convenios con los empleadores afiliados, con los sindicatos a los que pertenecen los trabajadores afiliados o con éstos en forma directa.</w:t>
      </w:r>
    </w:p>
  </w:footnote>
  <w:footnote w:id="18">
    <w:p w14:paraId="1098CD03" w14:textId="31CFC4BB" w:rsidR="00344A54" w:rsidRPr="00344A54" w:rsidRDefault="00344A54" w:rsidP="00C312F7">
      <w:pPr>
        <w:pStyle w:val="Textonotapie"/>
        <w:jc w:val="both"/>
        <w:rPr>
          <w:vertAlign w:val="superscript"/>
        </w:rPr>
      </w:pPr>
      <w:r w:rsidRPr="00C429AF">
        <w:rPr>
          <w:rFonts w:ascii="Myriad Pro" w:hAnsi="Myriad Pro"/>
          <w:sz w:val="16"/>
          <w:szCs w:val="16"/>
          <w:vertAlign w:val="superscript"/>
        </w:rPr>
        <w:footnoteRef/>
      </w:r>
      <w:r w:rsidRPr="00C429AF">
        <w:rPr>
          <w:rFonts w:ascii="Myriad Pro" w:hAnsi="Myriad Pro"/>
          <w:sz w:val="16"/>
          <w:szCs w:val="16"/>
          <w:vertAlign w:val="superscript"/>
        </w:rPr>
        <w:t xml:space="preserve"> </w:t>
      </w:r>
      <w:r w:rsidRPr="00C429AF">
        <w:rPr>
          <w:rFonts w:ascii="Myriad Pro" w:eastAsiaTheme="minorHAnsi" w:hAnsi="Myriad Pro" w:cstheme="minorBidi"/>
          <w:sz w:val="16"/>
          <w:szCs w:val="16"/>
          <w:lang w:val="es-CL" w:eastAsia="en-US"/>
        </w:rPr>
        <w:t>Considera colocaciones de crédito social corriente y no corriente + deudores previsionales (neto).</w:t>
      </w:r>
    </w:p>
  </w:footnote>
  <w:footnote w:id="19">
    <w:p w14:paraId="409091D0" w14:textId="08AD4712" w:rsidR="00ED7AD2" w:rsidRPr="00C429AF" w:rsidRDefault="00ED7AD2">
      <w:pPr>
        <w:pStyle w:val="Textonotapie"/>
        <w:rPr>
          <w:rFonts w:ascii="Myriad Pro" w:hAnsi="Myriad Pro"/>
          <w:sz w:val="16"/>
          <w:szCs w:val="16"/>
        </w:rPr>
      </w:pPr>
      <w:r w:rsidRPr="00971ADD">
        <w:rPr>
          <w:rFonts w:ascii="Myriad Pro" w:eastAsiaTheme="minorHAnsi" w:hAnsi="Myriad Pro" w:cstheme="minorBidi"/>
          <w:sz w:val="16"/>
          <w:szCs w:val="16"/>
          <w:vertAlign w:val="superscript"/>
          <w:lang w:val="es-CL" w:eastAsia="en-US"/>
        </w:rPr>
        <w:footnoteRef/>
      </w:r>
      <w:r w:rsidRPr="00971ADD">
        <w:rPr>
          <w:rFonts w:ascii="Myriad Pro" w:eastAsiaTheme="minorHAnsi" w:hAnsi="Myriad Pro" w:cstheme="minorBidi"/>
          <w:sz w:val="16"/>
          <w:szCs w:val="16"/>
          <w:lang w:val="es-CL" w:eastAsia="en-US"/>
        </w:rPr>
        <w:t xml:space="preserve"> Las cifras presentadas en este </w:t>
      </w:r>
      <w:r w:rsidRPr="00C429AF">
        <w:rPr>
          <w:rFonts w:ascii="Myriad Pro" w:eastAsiaTheme="minorHAnsi" w:hAnsi="Myriad Pro" w:cstheme="minorBidi"/>
          <w:sz w:val="16"/>
          <w:szCs w:val="16"/>
          <w:lang w:val="es-CL" w:eastAsia="en-US"/>
        </w:rPr>
        <w:t>acápite han sido corregidas a pesos del último período para efectos de comparación histórica.</w:t>
      </w:r>
    </w:p>
  </w:footnote>
  <w:footnote w:id="20">
    <w:p w14:paraId="6AA9FA64" w14:textId="37476CC8" w:rsidR="003E0AA9" w:rsidRPr="00C429AF" w:rsidRDefault="003E0AA9">
      <w:pPr>
        <w:pStyle w:val="Textonotapie"/>
        <w:rPr>
          <w:vertAlign w:val="superscript"/>
        </w:rPr>
      </w:pPr>
      <w:r w:rsidRPr="00C429AF">
        <w:rPr>
          <w:rFonts w:ascii="Myriad Pro" w:eastAsiaTheme="minorHAnsi" w:hAnsi="Myriad Pro" w:cstheme="minorBidi"/>
          <w:sz w:val="16"/>
          <w:szCs w:val="16"/>
          <w:vertAlign w:val="superscript"/>
          <w:lang w:val="es-CL" w:eastAsia="en-US"/>
        </w:rPr>
        <w:footnoteRef/>
      </w:r>
      <w:r w:rsidRPr="00C429AF">
        <w:rPr>
          <w:rFonts w:ascii="Myriad Pro" w:eastAsiaTheme="minorHAnsi" w:hAnsi="Myriad Pro" w:cstheme="minorBidi"/>
          <w:sz w:val="16"/>
          <w:szCs w:val="16"/>
          <w:vertAlign w:val="superscript"/>
          <w:lang w:val="es-CL" w:eastAsia="en-US"/>
        </w:rPr>
        <w:t xml:space="preserve"> </w:t>
      </w:r>
      <w:r w:rsidRPr="00C429AF">
        <w:rPr>
          <w:rFonts w:ascii="Myriad Pro" w:eastAsiaTheme="minorHAnsi" w:hAnsi="Myriad Pro" w:cstheme="minorBidi"/>
          <w:sz w:val="16"/>
          <w:szCs w:val="16"/>
          <w:lang w:val="es-CL" w:eastAsia="en-US"/>
        </w:rPr>
        <w:t>Considera colocaciones de crédito social corriente y no corriente + deudores previsionales (neto).</w:t>
      </w:r>
    </w:p>
  </w:footnote>
  <w:footnote w:id="21">
    <w:p w14:paraId="2F3A9676" w14:textId="546D579B" w:rsidR="00A84353" w:rsidRDefault="00A84353">
      <w:pPr>
        <w:pStyle w:val="Textonotapie"/>
      </w:pPr>
      <w:r w:rsidRPr="00C429AF">
        <w:rPr>
          <w:rFonts w:ascii="Myriad Pro" w:eastAsiaTheme="minorHAnsi" w:hAnsi="Myriad Pro" w:cstheme="minorBidi"/>
          <w:sz w:val="16"/>
          <w:szCs w:val="16"/>
          <w:vertAlign w:val="superscript"/>
          <w:lang w:val="es-CL" w:eastAsia="en-US"/>
        </w:rPr>
        <w:footnoteRef/>
      </w:r>
      <w:r w:rsidRPr="00C429AF">
        <w:rPr>
          <w:rFonts w:ascii="Myriad Pro" w:eastAsiaTheme="minorHAnsi" w:hAnsi="Myriad Pro" w:cstheme="minorBidi"/>
          <w:sz w:val="16"/>
          <w:szCs w:val="16"/>
          <w:vertAlign w:val="superscript"/>
          <w:lang w:val="es-CL" w:eastAsia="en-US"/>
        </w:rPr>
        <w:t xml:space="preserve"> </w:t>
      </w:r>
      <w:r w:rsidR="00994E4E" w:rsidRPr="00C429AF">
        <w:rPr>
          <w:rFonts w:ascii="Myriad Pro" w:eastAsiaTheme="minorHAnsi" w:hAnsi="Myriad Pro" w:cstheme="minorBidi"/>
          <w:sz w:val="16"/>
          <w:szCs w:val="16"/>
          <w:lang w:val="es-CL" w:eastAsia="en-US"/>
        </w:rPr>
        <w:t>Incluye ingresos por intereses y reajustes + ingresos de actividades ordinarias.</w:t>
      </w:r>
    </w:p>
  </w:footnote>
  <w:footnote w:id="22">
    <w:p w14:paraId="363CF454" w14:textId="24480FE5" w:rsidR="00CE23D4" w:rsidRPr="00971ADD" w:rsidRDefault="00CE23D4" w:rsidP="00395907">
      <w:pPr>
        <w:pStyle w:val="Textonotapie"/>
        <w:jc w:val="both"/>
        <w:rPr>
          <w:rFonts w:ascii="Myriad Pro" w:hAnsi="Myriad Pro"/>
        </w:rPr>
      </w:pPr>
      <w:r w:rsidRPr="00971ADD">
        <w:rPr>
          <w:rFonts w:ascii="Myriad Pro" w:eastAsiaTheme="minorHAnsi" w:hAnsi="Myriad Pro" w:cstheme="minorBidi"/>
          <w:sz w:val="16"/>
          <w:szCs w:val="16"/>
          <w:vertAlign w:val="superscript"/>
          <w:lang w:val="es-CL" w:eastAsia="en-US"/>
        </w:rPr>
        <w:footnoteRef/>
      </w:r>
      <w:r w:rsidRPr="00971ADD">
        <w:rPr>
          <w:rFonts w:ascii="Myriad Pro" w:eastAsiaTheme="minorHAnsi" w:hAnsi="Myriad Pro" w:cstheme="minorBidi"/>
          <w:sz w:val="16"/>
          <w:szCs w:val="16"/>
          <w:vertAlign w:val="superscript"/>
          <w:lang w:val="es-CL" w:eastAsia="en-US"/>
        </w:rPr>
        <w:t xml:space="preserve"> </w:t>
      </w:r>
      <w:r w:rsidR="0097341C" w:rsidRPr="00971ADD">
        <w:rPr>
          <w:rFonts w:ascii="Myriad Pro" w:hAnsi="Myriad Pro"/>
          <w:sz w:val="16"/>
          <w:szCs w:val="16"/>
        </w:rPr>
        <w:t>En caso de ajustar el patrimonio (de acuerdo con la metodología de esta clasificadora) por la pérdida esperada de sus cuentas por cobrar que no está cubierta por las provisiones, el indicador no presenta variaciones relevantes.</w:t>
      </w:r>
    </w:p>
  </w:footnote>
  <w:footnote w:id="23">
    <w:p w14:paraId="2685483E" w14:textId="05530DF3" w:rsidR="00582419" w:rsidRPr="00582419" w:rsidRDefault="00582419">
      <w:pPr>
        <w:pStyle w:val="Textonotapie"/>
        <w:rPr>
          <w:vertAlign w:val="superscript"/>
        </w:rPr>
      </w:pPr>
      <w:r w:rsidRPr="00582419">
        <w:rPr>
          <w:rFonts w:ascii="Myriad Pro" w:eastAsiaTheme="minorHAnsi" w:hAnsi="Myriad Pro" w:cstheme="minorBidi"/>
          <w:sz w:val="16"/>
          <w:szCs w:val="16"/>
          <w:vertAlign w:val="superscript"/>
          <w:lang w:val="es-CL" w:eastAsia="en-US"/>
        </w:rPr>
        <w:footnoteRef/>
      </w:r>
      <w:r w:rsidRPr="00582419">
        <w:rPr>
          <w:rFonts w:ascii="Myriad Pro" w:eastAsiaTheme="minorHAnsi" w:hAnsi="Myriad Pro" w:cstheme="minorBidi"/>
          <w:sz w:val="16"/>
          <w:szCs w:val="16"/>
          <w:vertAlign w:val="superscript"/>
          <w:lang w:val="es-CL" w:eastAsia="en-US"/>
        </w:rPr>
        <w:t xml:space="preserve"> </w:t>
      </w:r>
      <w:r w:rsidRPr="00C429AF">
        <w:rPr>
          <w:rFonts w:ascii="Myriad Pro" w:eastAsiaTheme="minorHAnsi" w:hAnsi="Myriad Pro" w:cstheme="minorBidi"/>
          <w:sz w:val="16"/>
          <w:szCs w:val="16"/>
          <w:lang w:val="es-CL" w:eastAsia="en-US"/>
        </w:rPr>
        <w:t>Considera colocaciones de crédito social corriente y no corriente + deudores previsionales (neto).</w:t>
      </w:r>
    </w:p>
  </w:footnote>
  <w:footnote w:id="24">
    <w:p w14:paraId="13B53822" w14:textId="4267B5D4" w:rsidR="003C1F4D" w:rsidRPr="003C1F4D" w:rsidRDefault="003C1F4D" w:rsidP="0042037C">
      <w:pPr>
        <w:pStyle w:val="Textonotapie"/>
        <w:jc w:val="both"/>
        <w:rPr>
          <w:sz w:val="16"/>
          <w:szCs w:val="16"/>
          <w:vertAlign w:val="superscript"/>
        </w:rPr>
      </w:pPr>
      <w:r w:rsidRPr="00971ADD">
        <w:rPr>
          <w:rFonts w:ascii="Myriad Pro" w:eastAsiaTheme="minorHAnsi" w:hAnsi="Myriad Pro" w:cstheme="minorBidi"/>
          <w:sz w:val="16"/>
          <w:szCs w:val="16"/>
          <w:vertAlign w:val="superscript"/>
          <w:lang w:val="es-CL" w:eastAsia="en-US"/>
        </w:rPr>
        <w:footnoteRef/>
      </w:r>
      <w:r w:rsidRPr="00971ADD">
        <w:rPr>
          <w:rFonts w:ascii="Myriad Pro" w:eastAsiaTheme="minorHAnsi" w:hAnsi="Myriad Pro" w:cstheme="minorBidi"/>
          <w:sz w:val="16"/>
          <w:szCs w:val="16"/>
          <w:vertAlign w:val="superscript"/>
          <w:lang w:val="es-CL" w:eastAsia="en-US"/>
        </w:rPr>
        <w:t xml:space="preserve"> </w:t>
      </w:r>
      <w:r w:rsidR="00C713F7" w:rsidRPr="00971ADD">
        <w:rPr>
          <w:rFonts w:ascii="Myriad Pro" w:eastAsiaTheme="minorHAnsi" w:hAnsi="Myriad Pro" w:cstheme="minorBidi"/>
          <w:sz w:val="16"/>
          <w:szCs w:val="16"/>
          <w:lang w:val="es-CL" w:eastAsia="en-US"/>
        </w:rPr>
        <w:t>Rentabilidad activos = utilidad del ejercicio anual móvil deflactada / activos promedio (marzo 202</w:t>
      </w:r>
      <w:r w:rsidR="006951FD">
        <w:rPr>
          <w:rFonts w:ascii="Myriad Pro" w:eastAsiaTheme="minorHAnsi" w:hAnsi="Myriad Pro" w:cstheme="minorBidi"/>
          <w:sz w:val="16"/>
          <w:szCs w:val="16"/>
          <w:lang w:val="es-CL" w:eastAsia="en-US"/>
        </w:rPr>
        <w:t>1</w:t>
      </w:r>
      <w:r w:rsidR="00C713F7" w:rsidRPr="00971ADD">
        <w:rPr>
          <w:rFonts w:ascii="Myriad Pro" w:eastAsiaTheme="minorHAnsi" w:hAnsi="Myriad Pro" w:cstheme="minorBidi"/>
          <w:sz w:val="16"/>
          <w:szCs w:val="16"/>
          <w:lang w:val="es-CL" w:eastAsia="en-US"/>
        </w:rPr>
        <w:t xml:space="preserve"> y marzo 202</w:t>
      </w:r>
      <w:r w:rsidR="006951FD">
        <w:rPr>
          <w:rFonts w:ascii="Myriad Pro" w:eastAsiaTheme="minorHAnsi" w:hAnsi="Myriad Pro" w:cstheme="minorBidi"/>
          <w:sz w:val="16"/>
          <w:szCs w:val="16"/>
          <w:lang w:val="es-CL" w:eastAsia="en-US"/>
        </w:rPr>
        <w:t>2</w:t>
      </w:r>
      <w:r w:rsidR="00C713F7" w:rsidRPr="00971ADD">
        <w:rPr>
          <w:rFonts w:ascii="Myriad Pro" w:eastAsiaTheme="minorHAnsi" w:hAnsi="Myriad Pro" w:cstheme="minorBidi"/>
          <w:sz w:val="16"/>
          <w:szCs w:val="16"/>
          <w:lang w:val="es-CL" w:eastAsia="en-US"/>
        </w:rPr>
        <w:t>); Rentabilidad patrimonio = utilidad del ejercicio anual móvil deflactada / patrimonio total promedio (marzo 202</w:t>
      </w:r>
      <w:r w:rsidR="006951FD">
        <w:rPr>
          <w:rFonts w:ascii="Myriad Pro" w:eastAsiaTheme="minorHAnsi" w:hAnsi="Myriad Pro" w:cstheme="minorBidi"/>
          <w:sz w:val="16"/>
          <w:szCs w:val="16"/>
          <w:lang w:val="es-CL" w:eastAsia="en-US"/>
        </w:rPr>
        <w:t>1</w:t>
      </w:r>
      <w:r w:rsidR="00C713F7" w:rsidRPr="00971ADD">
        <w:rPr>
          <w:rFonts w:ascii="Myriad Pro" w:eastAsiaTheme="minorHAnsi" w:hAnsi="Myriad Pro" w:cstheme="minorBidi"/>
          <w:sz w:val="16"/>
          <w:szCs w:val="16"/>
          <w:lang w:val="es-CL" w:eastAsia="en-US"/>
        </w:rPr>
        <w:t xml:space="preserve"> y marzo 202</w:t>
      </w:r>
      <w:r w:rsidR="006951FD">
        <w:rPr>
          <w:rFonts w:ascii="Myriad Pro" w:eastAsiaTheme="minorHAnsi" w:hAnsi="Myriad Pro" w:cstheme="minorBidi"/>
          <w:sz w:val="16"/>
          <w:szCs w:val="16"/>
          <w:lang w:val="es-CL" w:eastAsia="en-US"/>
        </w:rPr>
        <w:t>2</w:t>
      </w:r>
      <w:r w:rsidR="00C713F7" w:rsidRPr="00971ADD">
        <w:rPr>
          <w:rFonts w:ascii="Myriad Pro" w:eastAsiaTheme="minorHAnsi" w:hAnsi="Myriad Pro" w:cstheme="minorBidi"/>
          <w:sz w:val="16"/>
          <w:szCs w:val="16"/>
          <w:lang w:val="es-CL" w:eastAsia="en-US"/>
        </w:rPr>
        <w:t>).</w:t>
      </w:r>
    </w:p>
  </w:footnote>
  <w:footnote w:id="25">
    <w:p w14:paraId="67B45BF5" w14:textId="77777777" w:rsidR="00971ADD" w:rsidRPr="00971ADD" w:rsidRDefault="00E36F78" w:rsidP="0042037C">
      <w:pPr>
        <w:pStyle w:val="Textonotapie"/>
        <w:jc w:val="both"/>
        <w:rPr>
          <w:rFonts w:ascii="Myriad Pro" w:hAnsi="Myriad Pro"/>
          <w:sz w:val="16"/>
          <w:szCs w:val="16"/>
        </w:rPr>
      </w:pPr>
      <w:r w:rsidRPr="00971ADD">
        <w:rPr>
          <w:rStyle w:val="Refdenotaalpie"/>
          <w:rFonts w:ascii="Myriad Pro" w:hAnsi="Myriad Pro"/>
          <w:sz w:val="16"/>
          <w:szCs w:val="16"/>
        </w:rPr>
        <w:footnoteRef/>
      </w:r>
      <w:r w:rsidRPr="00971ADD">
        <w:rPr>
          <w:rFonts w:ascii="Myriad Pro" w:hAnsi="Myriad Pro"/>
          <w:sz w:val="16"/>
          <w:szCs w:val="16"/>
        </w:rPr>
        <w:t xml:space="preserve"> </w:t>
      </w:r>
      <w:r w:rsidR="00971ADD" w:rsidRPr="00971ADD">
        <w:rPr>
          <w:rFonts w:ascii="Myriad Pro" w:hAnsi="Myriad Pro"/>
          <w:sz w:val="16"/>
          <w:szCs w:val="16"/>
        </w:rPr>
        <w:t>Incluye ingresos por intereses y reajustes + ingresos de actividades ordinarias.</w:t>
      </w:r>
    </w:p>
    <w:p w14:paraId="0F949CC4" w14:textId="0D38B56D" w:rsidR="00E36F78" w:rsidRDefault="00E36F78">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13D5A" w14:textId="4C3FA9CF" w:rsidR="00DE23AE" w:rsidRDefault="00DE23AE" w:rsidP="00D83BC6">
    <w:pPr>
      <w:pStyle w:val="Encabezado"/>
      <w:framePr w:wrap="none" w:vAnchor="text" w:hAnchor="margin" w:xAlign="right" w:y="1"/>
      <w:rPr>
        <w:rStyle w:val="Nmerodepgina"/>
      </w:rPr>
    </w:pPr>
  </w:p>
  <w:sdt>
    <w:sdtPr>
      <w:rPr>
        <w:rStyle w:val="Nmerodepgina"/>
      </w:rPr>
      <w:id w:val="-1020847557"/>
      <w:docPartObj>
        <w:docPartGallery w:val="Page Numbers (Top of Page)"/>
        <w:docPartUnique/>
      </w:docPartObj>
    </w:sdtPr>
    <w:sdtContent>
      <w:p w14:paraId="3C2BD3FB" w14:textId="77777777" w:rsidR="00DE23AE" w:rsidRDefault="00DE23AE" w:rsidP="00D83BC6">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1300C52" w14:textId="77777777" w:rsidR="00DE23AE" w:rsidRDefault="00DE23AE" w:rsidP="00DE23AE">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59471" w14:textId="416241F1" w:rsidR="002776AA" w:rsidRDefault="002776AA" w:rsidP="00DE23AE">
    <w:pPr>
      <w:tabs>
        <w:tab w:val="left" w:pos="1440"/>
      </w:tabs>
      <w:ind w:right="360"/>
    </w:pPr>
    <w:r>
      <w:rPr>
        <w:noProof/>
      </w:rPr>
      <mc:AlternateContent>
        <mc:Choice Requires="wps">
          <w:drawing>
            <wp:anchor distT="0" distB="0" distL="114300" distR="114300" simplePos="0" relativeHeight="251658245" behindDoc="0" locked="0" layoutInCell="1" allowOverlap="1" wp14:anchorId="1CDC7BDF" wp14:editId="5E8A812A">
              <wp:simplePos x="0" y="0"/>
              <wp:positionH relativeFrom="column">
                <wp:posOffset>-800735</wp:posOffset>
              </wp:positionH>
              <wp:positionV relativeFrom="paragraph">
                <wp:posOffset>-448945</wp:posOffset>
              </wp:positionV>
              <wp:extent cx="381000" cy="1320800"/>
              <wp:effectExtent l="0" t="0" r="0" b="0"/>
              <wp:wrapNone/>
              <wp:docPr id="18" name="Rectángulo 18"/>
              <wp:cNvGraphicFramePr/>
              <a:graphic xmlns:a="http://schemas.openxmlformats.org/drawingml/2006/main">
                <a:graphicData uri="http://schemas.microsoft.com/office/word/2010/wordprocessingShape">
                  <wps:wsp>
                    <wps:cNvSpPr/>
                    <wps:spPr>
                      <a:xfrm>
                        <a:off x="0" y="0"/>
                        <a:ext cx="381000" cy="13208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86D93B9" id="Rectángulo 18" o:spid="_x0000_s1026" style="position:absolute;margin-left:-63.05pt;margin-top:-35.35pt;width:30pt;height:1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" fillcolor="#c00000" stroked="f" strokeweight="1pt"/>
          </w:pict>
        </mc:Fallback>
      </mc:AlternateContent>
    </w:r>
    <w:r w:rsidRPr="00D269FC">
      <w:rPr>
        <w:noProof/>
      </w:rPr>
      <w:drawing>
        <wp:anchor distT="0" distB="0" distL="114300" distR="114300" simplePos="0" relativeHeight="251658242" behindDoc="1" locked="1" layoutInCell="1" allowOverlap="1" wp14:anchorId="71D7DE40" wp14:editId="435EAB83">
          <wp:simplePos x="0" y="0"/>
          <wp:positionH relativeFrom="margin">
            <wp:posOffset>4537710</wp:posOffset>
          </wp:positionH>
          <wp:positionV relativeFrom="margin">
            <wp:posOffset>6001385</wp:posOffset>
          </wp:positionV>
          <wp:extent cx="2585085" cy="2790825"/>
          <wp:effectExtent l="0" t="0" r="5715" b="3175"/>
          <wp:wrapNone/>
          <wp:docPr id="28"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1">
                    <a:extLst>
                      <a:ext uri="{28A0092B-C50C-407E-A947-70E740481C1C}">
                        <a14:useLocalDpi xmlns:a14="http://schemas.microsoft.com/office/drawing/2010/main" val="0"/>
                      </a:ext>
                    </a:extLst>
                  </a:blip>
                  <a:srcRect l="9682" t="11225" r="19116" b="12418"/>
                  <a:stretch/>
                </pic:blipFill>
                <pic:spPr bwMode="auto">
                  <a:xfrm>
                    <a:off x="0" y="0"/>
                    <a:ext cx="2585085" cy="2790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6E6F">
      <w:rPr>
        <w:noProof/>
      </w:rPr>
      <w:drawing>
        <wp:anchor distT="0" distB="0" distL="114300" distR="114300" simplePos="0" relativeHeight="251658240" behindDoc="1" locked="1" layoutInCell="1" allowOverlap="0" wp14:anchorId="082CF3B1" wp14:editId="69247144">
          <wp:simplePos x="0" y="0"/>
          <wp:positionH relativeFrom="margin">
            <wp:posOffset>-393700</wp:posOffset>
          </wp:positionH>
          <wp:positionV relativeFrom="page">
            <wp:posOffset>166370</wp:posOffset>
          </wp:positionV>
          <wp:extent cx="2537460" cy="870585"/>
          <wp:effectExtent l="0" t="0" r="2540" b="571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537460" cy="87058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99017" w14:textId="44675BF5" w:rsidR="00DE23AE" w:rsidRDefault="00000000" w:rsidP="00D83BC6">
    <w:pPr>
      <w:pStyle w:val="Encabezado"/>
      <w:framePr w:wrap="none" w:vAnchor="text" w:hAnchor="margin" w:xAlign="right" w:y="1"/>
      <w:rPr>
        <w:rStyle w:val="Nmerodepgina"/>
      </w:rPr>
    </w:pPr>
    <w:sdt>
      <w:sdtPr>
        <w:rPr>
          <w:rStyle w:val="Nmerodepgina"/>
        </w:rPr>
        <w:id w:val="1364785740"/>
        <w:docPartObj>
          <w:docPartGallery w:val="Page Numbers (Top of Page)"/>
          <w:docPartUnique/>
        </w:docPartObj>
      </w:sdtPr>
      <w:sdtContent>
        <w:r w:rsidR="00DE23AE">
          <w:rPr>
            <w:rStyle w:val="Nmerodepgina"/>
          </w:rPr>
          <w:fldChar w:fldCharType="begin"/>
        </w:r>
        <w:r w:rsidR="00DE23AE">
          <w:rPr>
            <w:rStyle w:val="Nmerodepgina"/>
          </w:rPr>
          <w:instrText xml:space="preserve"> PAGE </w:instrText>
        </w:r>
        <w:r w:rsidR="00DE23AE">
          <w:rPr>
            <w:rStyle w:val="Nmerodepgina"/>
          </w:rPr>
          <w:fldChar w:fldCharType="separate"/>
        </w:r>
        <w:r w:rsidR="00DE23AE">
          <w:rPr>
            <w:rStyle w:val="Nmerodepgina"/>
            <w:noProof/>
          </w:rPr>
          <w:t>1</w:t>
        </w:r>
        <w:r w:rsidR="00DE23AE">
          <w:rPr>
            <w:rStyle w:val="Nmerodepgina"/>
          </w:rPr>
          <w:fldChar w:fldCharType="end"/>
        </w:r>
      </w:sdtContent>
    </w:sdt>
  </w:p>
  <w:p w14:paraId="3D720093" w14:textId="559FFC5A" w:rsidR="002776AA" w:rsidRDefault="00E10DEB" w:rsidP="00DE23AE">
    <w:pPr>
      <w:pStyle w:val="Encabezado"/>
      <w:ind w:right="360"/>
    </w:pPr>
    <w:r w:rsidRPr="00366E6F">
      <w:rPr>
        <w:noProof/>
      </w:rPr>
      <w:drawing>
        <wp:anchor distT="0" distB="0" distL="114300" distR="114300" simplePos="0" relativeHeight="251658246" behindDoc="1" locked="1" layoutInCell="1" allowOverlap="0" wp14:anchorId="75A0F749" wp14:editId="505D635A">
          <wp:simplePos x="0" y="0"/>
          <wp:positionH relativeFrom="margin">
            <wp:posOffset>-15240</wp:posOffset>
          </wp:positionH>
          <wp:positionV relativeFrom="page">
            <wp:posOffset>330200</wp:posOffset>
          </wp:positionV>
          <wp:extent cx="4100195" cy="1407160"/>
          <wp:effectExtent l="0" t="0" r="1905" b="25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100195" cy="1407160"/>
                  </a:xfrm>
                  <a:prstGeom prst="rect">
                    <a:avLst/>
                  </a:prstGeom>
                </pic:spPr>
              </pic:pic>
            </a:graphicData>
          </a:graphic>
          <wp14:sizeRelH relativeFrom="page">
            <wp14:pctWidth>0</wp14:pctWidth>
          </wp14:sizeRelH>
          <wp14:sizeRelV relativeFrom="page">
            <wp14:pctHeight>0</wp14:pctHeight>
          </wp14:sizeRelV>
        </wp:anchor>
      </w:drawing>
    </w:r>
    <w:r w:rsidR="002776AA" w:rsidRPr="00366E6F">
      <w:rPr>
        <w:noProof/>
      </w:rPr>
      <mc:AlternateContent>
        <mc:Choice Requires="wps">
          <w:drawing>
            <wp:anchor distT="0" distB="0" distL="114300" distR="114300" simplePos="0" relativeHeight="251658243" behindDoc="1" locked="1" layoutInCell="1" allowOverlap="1" wp14:anchorId="7736C5AE" wp14:editId="007BE537">
              <wp:simplePos x="0" y="0"/>
              <wp:positionH relativeFrom="margin">
                <wp:posOffset>4712335</wp:posOffset>
              </wp:positionH>
              <wp:positionV relativeFrom="margin">
                <wp:posOffset>-1463675</wp:posOffset>
              </wp:positionV>
              <wp:extent cx="2286000" cy="10072370"/>
              <wp:effectExtent l="0" t="0" r="0" b="0"/>
              <wp:wrapSquare wrapText="bothSides"/>
              <wp:docPr id="9" name="Rectángulo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0" cy="10072370"/>
                      </a:xfrm>
                      <a:prstGeom prst="rect">
                        <a:avLst/>
                      </a:prstGeom>
                      <a:gradFill>
                        <a:gsLst>
                          <a:gs pos="0">
                            <a:srgbClr val="C33438"/>
                          </a:gs>
                          <a:gs pos="52000">
                            <a:srgbClr val="CB0204"/>
                          </a:gs>
                          <a:gs pos="100000">
                            <a:srgbClr val="C33438"/>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65E886E" id="Rectángulo 9" o:spid="_x0000_s1026" style="position:absolute;margin-left:371.05pt;margin-top:-115.25pt;width:180pt;height:793.1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" fillcolor="#c33438" stroked="f" strokeweight="1pt">
              <v:fill color2="#cb0204" focus="52%" type="gradient"/>
              <o:lock v:ext="edit" aspectratio="t"/>
              <w10:wrap type="square" anchorx="margin" anchory="margin"/>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9E18C1"/>
    <w:multiLevelType w:val="hybridMultilevel"/>
    <w:tmpl w:val="973AFAC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41412418"/>
    <w:multiLevelType w:val="hybridMultilevel"/>
    <w:tmpl w:val="C464CF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41E354B6"/>
    <w:multiLevelType w:val="hybridMultilevel"/>
    <w:tmpl w:val="7856F98A"/>
    <w:lvl w:ilvl="0" w:tplc="C8DE696E">
      <w:numFmt w:val="bullet"/>
      <w:lvlText w:val="-"/>
      <w:lvlJc w:val="left"/>
      <w:pPr>
        <w:ind w:left="1080" w:hanging="360"/>
      </w:pPr>
      <w:rPr>
        <w:rFonts w:ascii="Verdana" w:eastAsia="Times New Roman" w:hAnsi="Verdana"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 w15:restartNumberingAfterBreak="0">
    <w:nsid w:val="4E167604"/>
    <w:multiLevelType w:val="hybridMultilevel"/>
    <w:tmpl w:val="19AC5FA0"/>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6ADB2440"/>
    <w:multiLevelType w:val="hybridMultilevel"/>
    <w:tmpl w:val="A30A28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237740974">
    <w:abstractNumId w:val="2"/>
  </w:num>
  <w:num w:numId="2" w16cid:durableId="1123958167">
    <w:abstractNumId w:val="4"/>
  </w:num>
  <w:num w:numId="3" w16cid:durableId="276569499">
    <w:abstractNumId w:val="0"/>
  </w:num>
  <w:num w:numId="4" w16cid:durableId="2037726708">
    <w:abstractNumId w:val="3"/>
  </w:num>
  <w:num w:numId="5" w16cid:durableId="13929705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FBF"/>
    <w:rsid w:val="0000098C"/>
    <w:rsid w:val="00001DCB"/>
    <w:rsid w:val="00003E69"/>
    <w:rsid w:val="00005725"/>
    <w:rsid w:val="00007293"/>
    <w:rsid w:val="00011E45"/>
    <w:rsid w:val="00012CBB"/>
    <w:rsid w:val="00015703"/>
    <w:rsid w:val="0001783A"/>
    <w:rsid w:val="00017D20"/>
    <w:rsid w:val="00017FA1"/>
    <w:rsid w:val="00020FBF"/>
    <w:rsid w:val="00022117"/>
    <w:rsid w:val="00022C01"/>
    <w:rsid w:val="0002519B"/>
    <w:rsid w:val="00025E98"/>
    <w:rsid w:val="000268E4"/>
    <w:rsid w:val="00030EEE"/>
    <w:rsid w:val="00031950"/>
    <w:rsid w:val="00033062"/>
    <w:rsid w:val="000334E1"/>
    <w:rsid w:val="00034EB7"/>
    <w:rsid w:val="00035243"/>
    <w:rsid w:val="00036A53"/>
    <w:rsid w:val="000371EE"/>
    <w:rsid w:val="000379AC"/>
    <w:rsid w:val="000401DB"/>
    <w:rsid w:val="00041755"/>
    <w:rsid w:val="0004661A"/>
    <w:rsid w:val="000472AE"/>
    <w:rsid w:val="0004737C"/>
    <w:rsid w:val="00050FA5"/>
    <w:rsid w:val="00051823"/>
    <w:rsid w:val="000528DB"/>
    <w:rsid w:val="0005451B"/>
    <w:rsid w:val="00056B74"/>
    <w:rsid w:val="00060A33"/>
    <w:rsid w:val="00061B74"/>
    <w:rsid w:val="000645F4"/>
    <w:rsid w:val="000656DB"/>
    <w:rsid w:val="000706DC"/>
    <w:rsid w:val="00070BDC"/>
    <w:rsid w:val="00071737"/>
    <w:rsid w:val="00072914"/>
    <w:rsid w:val="00073823"/>
    <w:rsid w:val="00074E81"/>
    <w:rsid w:val="000750CF"/>
    <w:rsid w:val="00075A40"/>
    <w:rsid w:val="000761A7"/>
    <w:rsid w:val="000775F7"/>
    <w:rsid w:val="00077682"/>
    <w:rsid w:val="000777DA"/>
    <w:rsid w:val="00080A46"/>
    <w:rsid w:val="00081413"/>
    <w:rsid w:val="000829D6"/>
    <w:rsid w:val="00084732"/>
    <w:rsid w:val="00084CB7"/>
    <w:rsid w:val="000858BD"/>
    <w:rsid w:val="0008671D"/>
    <w:rsid w:val="000873A8"/>
    <w:rsid w:val="00087633"/>
    <w:rsid w:val="00087910"/>
    <w:rsid w:val="00087C8B"/>
    <w:rsid w:val="00087DAE"/>
    <w:rsid w:val="00090520"/>
    <w:rsid w:val="00092703"/>
    <w:rsid w:val="000942C1"/>
    <w:rsid w:val="000947AA"/>
    <w:rsid w:val="00094D5D"/>
    <w:rsid w:val="00096BA4"/>
    <w:rsid w:val="000970D7"/>
    <w:rsid w:val="000A0B6E"/>
    <w:rsid w:val="000A28F8"/>
    <w:rsid w:val="000A2E81"/>
    <w:rsid w:val="000A6809"/>
    <w:rsid w:val="000A719F"/>
    <w:rsid w:val="000B040A"/>
    <w:rsid w:val="000B2F19"/>
    <w:rsid w:val="000B33DD"/>
    <w:rsid w:val="000B370D"/>
    <w:rsid w:val="000B4FA5"/>
    <w:rsid w:val="000B77FE"/>
    <w:rsid w:val="000B7A59"/>
    <w:rsid w:val="000C25A6"/>
    <w:rsid w:val="000C3240"/>
    <w:rsid w:val="000C3D8E"/>
    <w:rsid w:val="000C4A80"/>
    <w:rsid w:val="000C5A33"/>
    <w:rsid w:val="000C7D55"/>
    <w:rsid w:val="000D0E85"/>
    <w:rsid w:val="000D351F"/>
    <w:rsid w:val="000D372F"/>
    <w:rsid w:val="000E040F"/>
    <w:rsid w:val="000E2889"/>
    <w:rsid w:val="000E3499"/>
    <w:rsid w:val="000E53E4"/>
    <w:rsid w:val="000E5464"/>
    <w:rsid w:val="000E5C70"/>
    <w:rsid w:val="000E717C"/>
    <w:rsid w:val="000E7484"/>
    <w:rsid w:val="000F2CE0"/>
    <w:rsid w:val="000F4D3B"/>
    <w:rsid w:val="000F5936"/>
    <w:rsid w:val="000F66AD"/>
    <w:rsid w:val="000F7F2F"/>
    <w:rsid w:val="0010419B"/>
    <w:rsid w:val="0010539A"/>
    <w:rsid w:val="00110DD5"/>
    <w:rsid w:val="00111422"/>
    <w:rsid w:val="001118DD"/>
    <w:rsid w:val="00112A16"/>
    <w:rsid w:val="00112EFD"/>
    <w:rsid w:val="001130BA"/>
    <w:rsid w:val="00113D15"/>
    <w:rsid w:val="00116520"/>
    <w:rsid w:val="00116689"/>
    <w:rsid w:val="00117187"/>
    <w:rsid w:val="001173C9"/>
    <w:rsid w:val="001175BC"/>
    <w:rsid w:val="00117606"/>
    <w:rsid w:val="00123E39"/>
    <w:rsid w:val="001246BE"/>
    <w:rsid w:val="00131123"/>
    <w:rsid w:val="00131204"/>
    <w:rsid w:val="001329A0"/>
    <w:rsid w:val="00132CE4"/>
    <w:rsid w:val="00132E6D"/>
    <w:rsid w:val="00132F00"/>
    <w:rsid w:val="001330FD"/>
    <w:rsid w:val="001342D5"/>
    <w:rsid w:val="00134B71"/>
    <w:rsid w:val="00135DB0"/>
    <w:rsid w:val="00141246"/>
    <w:rsid w:val="00141ABA"/>
    <w:rsid w:val="001422E7"/>
    <w:rsid w:val="001430F6"/>
    <w:rsid w:val="00143B2F"/>
    <w:rsid w:val="00144381"/>
    <w:rsid w:val="001443A8"/>
    <w:rsid w:val="00144423"/>
    <w:rsid w:val="00144E24"/>
    <w:rsid w:val="00146342"/>
    <w:rsid w:val="001466DF"/>
    <w:rsid w:val="0014697D"/>
    <w:rsid w:val="00150350"/>
    <w:rsid w:val="00151E31"/>
    <w:rsid w:val="001522A6"/>
    <w:rsid w:val="001522D5"/>
    <w:rsid w:val="001557BB"/>
    <w:rsid w:val="00155EF1"/>
    <w:rsid w:val="001565B8"/>
    <w:rsid w:val="00156D5A"/>
    <w:rsid w:val="001612BB"/>
    <w:rsid w:val="001650D6"/>
    <w:rsid w:val="00165C0C"/>
    <w:rsid w:val="00166D71"/>
    <w:rsid w:val="00171D12"/>
    <w:rsid w:val="00172AC7"/>
    <w:rsid w:val="00172B98"/>
    <w:rsid w:val="0017354C"/>
    <w:rsid w:val="0017450C"/>
    <w:rsid w:val="001747A7"/>
    <w:rsid w:val="00174F9F"/>
    <w:rsid w:val="00176489"/>
    <w:rsid w:val="00176B44"/>
    <w:rsid w:val="00176F36"/>
    <w:rsid w:val="00180237"/>
    <w:rsid w:val="00180D11"/>
    <w:rsid w:val="001816C8"/>
    <w:rsid w:val="001821A5"/>
    <w:rsid w:val="001829BD"/>
    <w:rsid w:val="00183BFC"/>
    <w:rsid w:val="001854C3"/>
    <w:rsid w:val="00185912"/>
    <w:rsid w:val="001860FA"/>
    <w:rsid w:val="001903F3"/>
    <w:rsid w:val="0019091E"/>
    <w:rsid w:val="001910D9"/>
    <w:rsid w:val="0019206F"/>
    <w:rsid w:val="00192810"/>
    <w:rsid w:val="00192A30"/>
    <w:rsid w:val="00193296"/>
    <w:rsid w:val="001955DD"/>
    <w:rsid w:val="00196ED4"/>
    <w:rsid w:val="001A0333"/>
    <w:rsid w:val="001A0694"/>
    <w:rsid w:val="001A0BFE"/>
    <w:rsid w:val="001A0C01"/>
    <w:rsid w:val="001A3103"/>
    <w:rsid w:val="001A4849"/>
    <w:rsid w:val="001A49E4"/>
    <w:rsid w:val="001A4E77"/>
    <w:rsid w:val="001A672C"/>
    <w:rsid w:val="001B0616"/>
    <w:rsid w:val="001B1F50"/>
    <w:rsid w:val="001B5FE9"/>
    <w:rsid w:val="001B74C8"/>
    <w:rsid w:val="001B7C29"/>
    <w:rsid w:val="001C25B5"/>
    <w:rsid w:val="001C27A4"/>
    <w:rsid w:val="001C5394"/>
    <w:rsid w:val="001C6A09"/>
    <w:rsid w:val="001C70AC"/>
    <w:rsid w:val="001D0058"/>
    <w:rsid w:val="001D1948"/>
    <w:rsid w:val="001D1F35"/>
    <w:rsid w:val="001D303E"/>
    <w:rsid w:val="001D3230"/>
    <w:rsid w:val="001D3B18"/>
    <w:rsid w:val="001D44EA"/>
    <w:rsid w:val="001D58C7"/>
    <w:rsid w:val="001D5FAB"/>
    <w:rsid w:val="001D7E32"/>
    <w:rsid w:val="001E0365"/>
    <w:rsid w:val="001E2E12"/>
    <w:rsid w:val="001E3073"/>
    <w:rsid w:val="001E32E2"/>
    <w:rsid w:val="001E43AA"/>
    <w:rsid w:val="001E6260"/>
    <w:rsid w:val="001F0C96"/>
    <w:rsid w:val="001F11BB"/>
    <w:rsid w:val="001F42E4"/>
    <w:rsid w:val="001F4C72"/>
    <w:rsid w:val="001F5B80"/>
    <w:rsid w:val="00200E8B"/>
    <w:rsid w:val="00204F52"/>
    <w:rsid w:val="002074A9"/>
    <w:rsid w:val="00207578"/>
    <w:rsid w:val="00211694"/>
    <w:rsid w:val="002123E6"/>
    <w:rsid w:val="00212B0F"/>
    <w:rsid w:val="00212DAB"/>
    <w:rsid w:val="0021470C"/>
    <w:rsid w:val="00215B81"/>
    <w:rsid w:val="00216590"/>
    <w:rsid w:val="002167B2"/>
    <w:rsid w:val="00217F2C"/>
    <w:rsid w:val="00221985"/>
    <w:rsid w:val="00223397"/>
    <w:rsid w:val="00223A3B"/>
    <w:rsid w:val="002242A2"/>
    <w:rsid w:val="00225A48"/>
    <w:rsid w:val="00225C8D"/>
    <w:rsid w:val="00227698"/>
    <w:rsid w:val="00227E25"/>
    <w:rsid w:val="00230F2E"/>
    <w:rsid w:val="0023219A"/>
    <w:rsid w:val="002327DB"/>
    <w:rsid w:val="00233341"/>
    <w:rsid w:val="002342A1"/>
    <w:rsid w:val="00234344"/>
    <w:rsid w:val="00234991"/>
    <w:rsid w:val="0023714F"/>
    <w:rsid w:val="002402E5"/>
    <w:rsid w:val="0024121F"/>
    <w:rsid w:val="00241382"/>
    <w:rsid w:val="00242EC2"/>
    <w:rsid w:val="00242FB0"/>
    <w:rsid w:val="00245CAA"/>
    <w:rsid w:val="002464EF"/>
    <w:rsid w:val="00247EB5"/>
    <w:rsid w:val="0025006B"/>
    <w:rsid w:val="0025140F"/>
    <w:rsid w:val="00251543"/>
    <w:rsid w:val="00251DD2"/>
    <w:rsid w:val="00252B3F"/>
    <w:rsid w:val="00253744"/>
    <w:rsid w:val="00255A5E"/>
    <w:rsid w:val="00257DA0"/>
    <w:rsid w:val="00260C9F"/>
    <w:rsid w:val="00264756"/>
    <w:rsid w:val="0026559E"/>
    <w:rsid w:val="00266FBB"/>
    <w:rsid w:val="0026743A"/>
    <w:rsid w:val="00267596"/>
    <w:rsid w:val="002700CC"/>
    <w:rsid w:val="00270508"/>
    <w:rsid w:val="00270B83"/>
    <w:rsid w:val="002715A5"/>
    <w:rsid w:val="002731E3"/>
    <w:rsid w:val="0027381D"/>
    <w:rsid w:val="00276447"/>
    <w:rsid w:val="002776AA"/>
    <w:rsid w:val="002800D8"/>
    <w:rsid w:val="00282955"/>
    <w:rsid w:val="00286BEB"/>
    <w:rsid w:val="002875EB"/>
    <w:rsid w:val="00287C8D"/>
    <w:rsid w:val="002903D2"/>
    <w:rsid w:val="00290C80"/>
    <w:rsid w:val="00290E32"/>
    <w:rsid w:val="002921A7"/>
    <w:rsid w:val="002935DD"/>
    <w:rsid w:val="002939D7"/>
    <w:rsid w:val="00294A32"/>
    <w:rsid w:val="002973A4"/>
    <w:rsid w:val="002A0169"/>
    <w:rsid w:val="002A0A90"/>
    <w:rsid w:val="002A1734"/>
    <w:rsid w:val="002A3AD8"/>
    <w:rsid w:val="002A7849"/>
    <w:rsid w:val="002B1E56"/>
    <w:rsid w:val="002B372E"/>
    <w:rsid w:val="002B79A0"/>
    <w:rsid w:val="002B7FBC"/>
    <w:rsid w:val="002C1125"/>
    <w:rsid w:val="002C1C79"/>
    <w:rsid w:val="002C36C9"/>
    <w:rsid w:val="002C5723"/>
    <w:rsid w:val="002C63A7"/>
    <w:rsid w:val="002D0A6A"/>
    <w:rsid w:val="002D152C"/>
    <w:rsid w:val="002D1895"/>
    <w:rsid w:val="002D3613"/>
    <w:rsid w:val="002D3A23"/>
    <w:rsid w:val="002D3DCE"/>
    <w:rsid w:val="002D40DF"/>
    <w:rsid w:val="002D719D"/>
    <w:rsid w:val="002D752D"/>
    <w:rsid w:val="002E1082"/>
    <w:rsid w:val="002E2068"/>
    <w:rsid w:val="002E2B1A"/>
    <w:rsid w:val="002E53B4"/>
    <w:rsid w:val="002F05DB"/>
    <w:rsid w:val="002F0BBA"/>
    <w:rsid w:val="002F1BEC"/>
    <w:rsid w:val="002F1EC7"/>
    <w:rsid w:val="002F2DA9"/>
    <w:rsid w:val="002F2E86"/>
    <w:rsid w:val="002F4127"/>
    <w:rsid w:val="002F4245"/>
    <w:rsid w:val="002F505E"/>
    <w:rsid w:val="002F5640"/>
    <w:rsid w:val="002F6929"/>
    <w:rsid w:val="0030308E"/>
    <w:rsid w:val="003032FE"/>
    <w:rsid w:val="00303EEB"/>
    <w:rsid w:val="00304D2F"/>
    <w:rsid w:val="00305375"/>
    <w:rsid w:val="00307212"/>
    <w:rsid w:val="003103BC"/>
    <w:rsid w:val="00312D95"/>
    <w:rsid w:val="00313579"/>
    <w:rsid w:val="00313F47"/>
    <w:rsid w:val="00314335"/>
    <w:rsid w:val="003200C1"/>
    <w:rsid w:val="00320D13"/>
    <w:rsid w:val="003223F3"/>
    <w:rsid w:val="00324474"/>
    <w:rsid w:val="00326446"/>
    <w:rsid w:val="0033024D"/>
    <w:rsid w:val="003317A0"/>
    <w:rsid w:val="003319F7"/>
    <w:rsid w:val="00331DFD"/>
    <w:rsid w:val="003332C9"/>
    <w:rsid w:val="003338C8"/>
    <w:rsid w:val="00333C5B"/>
    <w:rsid w:val="00335334"/>
    <w:rsid w:val="00335C22"/>
    <w:rsid w:val="00336285"/>
    <w:rsid w:val="00336352"/>
    <w:rsid w:val="0034037F"/>
    <w:rsid w:val="00341111"/>
    <w:rsid w:val="00341BCD"/>
    <w:rsid w:val="00343626"/>
    <w:rsid w:val="00343943"/>
    <w:rsid w:val="003445CB"/>
    <w:rsid w:val="00344A54"/>
    <w:rsid w:val="003469A0"/>
    <w:rsid w:val="00347824"/>
    <w:rsid w:val="00350922"/>
    <w:rsid w:val="00354071"/>
    <w:rsid w:val="00355BDD"/>
    <w:rsid w:val="003569A4"/>
    <w:rsid w:val="003607AB"/>
    <w:rsid w:val="0036100E"/>
    <w:rsid w:val="00362121"/>
    <w:rsid w:val="00362318"/>
    <w:rsid w:val="0036398F"/>
    <w:rsid w:val="00365316"/>
    <w:rsid w:val="0036604D"/>
    <w:rsid w:val="00366E6F"/>
    <w:rsid w:val="00366F6E"/>
    <w:rsid w:val="00367D5A"/>
    <w:rsid w:val="003708CC"/>
    <w:rsid w:val="003735CF"/>
    <w:rsid w:val="003736B2"/>
    <w:rsid w:val="00374A67"/>
    <w:rsid w:val="003753E4"/>
    <w:rsid w:val="003804F7"/>
    <w:rsid w:val="00381108"/>
    <w:rsid w:val="003824B1"/>
    <w:rsid w:val="00383CAC"/>
    <w:rsid w:val="003851E2"/>
    <w:rsid w:val="00385B1C"/>
    <w:rsid w:val="00385B73"/>
    <w:rsid w:val="00386753"/>
    <w:rsid w:val="00391FE0"/>
    <w:rsid w:val="00392067"/>
    <w:rsid w:val="00395907"/>
    <w:rsid w:val="00395C16"/>
    <w:rsid w:val="00397E94"/>
    <w:rsid w:val="003A36E3"/>
    <w:rsid w:val="003A45D8"/>
    <w:rsid w:val="003A4FC6"/>
    <w:rsid w:val="003A70A7"/>
    <w:rsid w:val="003A7ADC"/>
    <w:rsid w:val="003A7CDB"/>
    <w:rsid w:val="003B2F2F"/>
    <w:rsid w:val="003B3C2E"/>
    <w:rsid w:val="003B4CAB"/>
    <w:rsid w:val="003B56E1"/>
    <w:rsid w:val="003B58C1"/>
    <w:rsid w:val="003B6527"/>
    <w:rsid w:val="003B6EF9"/>
    <w:rsid w:val="003C057C"/>
    <w:rsid w:val="003C1AAC"/>
    <w:rsid w:val="003C1F4D"/>
    <w:rsid w:val="003C27B6"/>
    <w:rsid w:val="003C38C0"/>
    <w:rsid w:val="003C5DCE"/>
    <w:rsid w:val="003C5F9D"/>
    <w:rsid w:val="003C66A3"/>
    <w:rsid w:val="003D33E2"/>
    <w:rsid w:val="003D3D72"/>
    <w:rsid w:val="003D56A5"/>
    <w:rsid w:val="003D6C9F"/>
    <w:rsid w:val="003D6E1A"/>
    <w:rsid w:val="003D721D"/>
    <w:rsid w:val="003D7B85"/>
    <w:rsid w:val="003E0AA9"/>
    <w:rsid w:val="003E2A2D"/>
    <w:rsid w:val="003E37C6"/>
    <w:rsid w:val="003E3DE4"/>
    <w:rsid w:val="003E3ED0"/>
    <w:rsid w:val="003E4825"/>
    <w:rsid w:val="003E60D6"/>
    <w:rsid w:val="003E7EDD"/>
    <w:rsid w:val="003F02C3"/>
    <w:rsid w:val="003F0D2C"/>
    <w:rsid w:val="003F3E10"/>
    <w:rsid w:val="003F4066"/>
    <w:rsid w:val="003F46AC"/>
    <w:rsid w:val="003F555E"/>
    <w:rsid w:val="003F5B6C"/>
    <w:rsid w:val="003F6AFD"/>
    <w:rsid w:val="003F7C8F"/>
    <w:rsid w:val="004010CF"/>
    <w:rsid w:val="00401A8C"/>
    <w:rsid w:val="00401F67"/>
    <w:rsid w:val="0040518F"/>
    <w:rsid w:val="004052AD"/>
    <w:rsid w:val="00410E2A"/>
    <w:rsid w:val="00411E6A"/>
    <w:rsid w:val="004136C4"/>
    <w:rsid w:val="00413CE5"/>
    <w:rsid w:val="00416B17"/>
    <w:rsid w:val="0042037C"/>
    <w:rsid w:val="00420B05"/>
    <w:rsid w:val="00420D2F"/>
    <w:rsid w:val="004211F4"/>
    <w:rsid w:val="00421BF2"/>
    <w:rsid w:val="00421E9A"/>
    <w:rsid w:val="00423C1F"/>
    <w:rsid w:val="004256AD"/>
    <w:rsid w:val="00426E5E"/>
    <w:rsid w:val="00431214"/>
    <w:rsid w:val="00431B23"/>
    <w:rsid w:val="0043274F"/>
    <w:rsid w:val="00433BDB"/>
    <w:rsid w:val="00433DB8"/>
    <w:rsid w:val="00434B2F"/>
    <w:rsid w:val="004353BA"/>
    <w:rsid w:val="00435F59"/>
    <w:rsid w:val="004365F8"/>
    <w:rsid w:val="00441F95"/>
    <w:rsid w:val="0044268E"/>
    <w:rsid w:val="004429DB"/>
    <w:rsid w:val="00442B25"/>
    <w:rsid w:val="00444F43"/>
    <w:rsid w:val="004452E4"/>
    <w:rsid w:val="0044590C"/>
    <w:rsid w:val="00446221"/>
    <w:rsid w:val="00446ACA"/>
    <w:rsid w:val="0044787F"/>
    <w:rsid w:val="00447AE2"/>
    <w:rsid w:val="00447E67"/>
    <w:rsid w:val="00450A44"/>
    <w:rsid w:val="00450D29"/>
    <w:rsid w:val="0045349C"/>
    <w:rsid w:val="00453A49"/>
    <w:rsid w:val="00453E77"/>
    <w:rsid w:val="004546A7"/>
    <w:rsid w:val="00454FF3"/>
    <w:rsid w:val="00457551"/>
    <w:rsid w:val="004610B9"/>
    <w:rsid w:val="00464587"/>
    <w:rsid w:val="00464A20"/>
    <w:rsid w:val="00464EAD"/>
    <w:rsid w:val="0046595A"/>
    <w:rsid w:val="00466640"/>
    <w:rsid w:val="00466772"/>
    <w:rsid w:val="004679DE"/>
    <w:rsid w:val="004712DE"/>
    <w:rsid w:val="004725EA"/>
    <w:rsid w:val="0047329B"/>
    <w:rsid w:val="00473DBE"/>
    <w:rsid w:val="004740AC"/>
    <w:rsid w:val="004742FD"/>
    <w:rsid w:val="004746A9"/>
    <w:rsid w:val="00474FFF"/>
    <w:rsid w:val="00475189"/>
    <w:rsid w:val="00482C6C"/>
    <w:rsid w:val="0048421B"/>
    <w:rsid w:val="00487DA2"/>
    <w:rsid w:val="00487E5F"/>
    <w:rsid w:val="004906B7"/>
    <w:rsid w:val="00490D63"/>
    <w:rsid w:val="004910C7"/>
    <w:rsid w:val="004927A5"/>
    <w:rsid w:val="00492BBE"/>
    <w:rsid w:val="00493267"/>
    <w:rsid w:val="00494873"/>
    <w:rsid w:val="00495D40"/>
    <w:rsid w:val="00495DBC"/>
    <w:rsid w:val="0049662C"/>
    <w:rsid w:val="004972BA"/>
    <w:rsid w:val="00497A9B"/>
    <w:rsid w:val="00497CBD"/>
    <w:rsid w:val="004A10F7"/>
    <w:rsid w:val="004A13CB"/>
    <w:rsid w:val="004A4509"/>
    <w:rsid w:val="004A519D"/>
    <w:rsid w:val="004A5A1C"/>
    <w:rsid w:val="004A68A2"/>
    <w:rsid w:val="004A695C"/>
    <w:rsid w:val="004A6EFE"/>
    <w:rsid w:val="004A78B3"/>
    <w:rsid w:val="004B01D9"/>
    <w:rsid w:val="004B1D71"/>
    <w:rsid w:val="004B2D5B"/>
    <w:rsid w:val="004B5B0A"/>
    <w:rsid w:val="004B6178"/>
    <w:rsid w:val="004C0B06"/>
    <w:rsid w:val="004C0C29"/>
    <w:rsid w:val="004C43B7"/>
    <w:rsid w:val="004D0252"/>
    <w:rsid w:val="004D377D"/>
    <w:rsid w:val="004D4DF7"/>
    <w:rsid w:val="004D5C21"/>
    <w:rsid w:val="004D6974"/>
    <w:rsid w:val="004D6A58"/>
    <w:rsid w:val="004E0260"/>
    <w:rsid w:val="004E4F3F"/>
    <w:rsid w:val="004E6430"/>
    <w:rsid w:val="004E7DC5"/>
    <w:rsid w:val="004F091E"/>
    <w:rsid w:val="004F0E06"/>
    <w:rsid w:val="004F35C8"/>
    <w:rsid w:val="004F3C20"/>
    <w:rsid w:val="004F3F4B"/>
    <w:rsid w:val="004F407A"/>
    <w:rsid w:val="004F48E1"/>
    <w:rsid w:val="004F647E"/>
    <w:rsid w:val="004F7716"/>
    <w:rsid w:val="0050094D"/>
    <w:rsid w:val="00502A36"/>
    <w:rsid w:val="00502C34"/>
    <w:rsid w:val="00504044"/>
    <w:rsid w:val="00504523"/>
    <w:rsid w:val="0050782E"/>
    <w:rsid w:val="00511488"/>
    <w:rsid w:val="00512CF1"/>
    <w:rsid w:val="00513B93"/>
    <w:rsid w:val="00514C87"/>
    <w:rsid w:val="00516649"/>
    <w:rsid w:val="00517D51"/>
    <w:rsid w:val="00521219"/>
    <w:rsid w:val="005213BA"/>
    <w:rsid w:val="00521517"/>
    <w:rsid w:val="005222E3"/>
    <w:rsid w:val="005228BF"/>
    <w:rsid w:val="005236C5"/>
    <w:rsid w:val="0052455A"/>
    <w:rsid w:val="005250C6"/>
    <w:rsid w:val="00526583"/>
    <w:rsid w:val="005268CC"/>
    <w:rsid w:val="00527FCC"/>
    <w:rsid w:val="00530E4C"/>
    <w:rsid w:val="00530FD2"/>
    <w:rsid w:val="00531596"/>
    <w:rsid w:val="00531F88"/>
    <w:rsid w:val="005324DE"/>
    <w:rsid w:val="00534F85"/>
    <w:rsid w:val="00535C58"/>
    <w:rsid w:val="005360B7"/>
    <w:rsid w:val="00540AFE"/>
    <w:rsid w:val="005441DB"/>
    <w:rsid w:val="00545703"/>
    <w:rsid w:val="005468F3"/>
    <w:rsid w:val="005501AC"/>
    <w:rsid w:val="00551F21"/>
    <w:rsid w:val="00554DD7"/>
    <w:rsid w:val="00555A89"/>
    <w:rsid w:val="005606BC"/>
    <w:rsid w:val="005625F3"/>
    <w:rsid w:val="00563DF9"/>
    <w:rsid w:val="00564655"/>
    <w:rsid w:val="00564A6F"/>
    <w:rsid w:val="00564C13"/>
    <w:rsid w:val="005650F5"/>
    <w:rsid w:val="00566613"/>
    <w:rsid w:val="00567B27"/>
    <w:rsid w:val="00571AA2"/>
    <w:rsid w:val="005728B1"/>
    <w:rsid w:val="00572A62"/>
    <w:rsid w:val="00573AC4"/>
    <w:rsid w:val="00574019"/>
    <w:rsid w:val="005747F0"/>
    <w:rsid w:val="005753D7"/>
    <w:rsid w:val="00575DB7"/>
    <w:rsid w:val="0057621B"/>
    <w:rsid w:val="00576961"/>
    <w:rsid w:val="00576F3B"/>
    <w:rsid w:val="005778B0"/>
    <w:rsid w:val="005807FC"/>
    <w:rsid w:val="00580913"/>
    <w:rsid w:val="00582419"/>
    <w:rsid w:val="005824A7"/>
    <w:rsid w:val="00584256"/>
    <w:rsid w:val="0058493E"/>
    <w:rsid w:val="00587A14"/>
    <w:rsid w:val="00592115"/>
    <w:rsid w:val="00592400"/>
    <w:rsid w:val="00592792"/>
    <w:rsid w:val="00594420"/>
    <w:rsid w:val="0059461E"/>
    <w:rsid w:val="00594F04"/>
    <w:rsid w:val="00594FAF"/>
    <w:rsid w:val="00596AA3"/>
    <w:rsid w:val="005A02EC"/>
    <w:rsid w:val="005A0EE0"/>
    <w:rsid w:val="005A1485"/>
    <w:rsid w:val="005A190D"/>
    <w:rsid w:val="005A3825"/>
    <w:rsid w:val="005A4390"/>
    <w:rsid w:val="005A657F"/>
    <w:rsid w:val="005A6F6E"/>
    <w:rsid w:val="005A73DB"/>
    <w:rsid w:val="005A748B"/>
    <w:rsid w:val="005A7AAB"/>
    <w:rsid w:val="005B0F41"/>
    <w:rsid w:val="005B3129"/>
    <w:rsid w:val="005B3B77"/>
    <w:rsid w:val="005B4FF6"/>
    <w:rsid w:val="005B55E1"/>
    <w:rsid w:val="005B5BB2"/>
    <w:rsid w:val="005B7A49"/>
    <w:rsid w:val="005C00C6"/>
    <w:rsid w:val="005C1AF2"/>
    <w:rsid w:val="005C29AC"/>
    <w:rsid w:val="005C3DD0"/>
    <w:rsid w:val="005C409E"/>
    <w:rsid w:val="005C433A"/>
    <w:rsid w:val="005C55BC"/>
    <w:rsid w:val="005C7297"/>
    <w:rsid w:val="005C7C4A"/>
    <w:rsid w:val="005D08C0"/>
    <w:rsid w:val="005D13AD"/>
    <w:rsid w:val="005D1BA1"/>
    <w:rsid w:val="005D2860"/>
    <w:rsid w:val="005D2FAF"/>
    <w:rsid w:val="005D3FBF"/>
    <w:rsid w:val="005D561B"/>
    <w:rsid w:val="005D70AC"/>
    <w:rsid w:val="005E0623"/>
    <w:rsid w:val="005E0776"/>
    <w:rsid w:val="005E1246"/>
    <w:rsid w:val="005E181D"/>
    <w:rsid w:val="005E22A9"/>
    <w:rsid w:val="005E25AE"/>
    <w:rsid w:val="005E2657"/>
    <w:rsid w:val="005E7C00"/>
    <w:rsid w:val="005F3050"/>
    <w:rsid w:val="005F3619"/>
    <w:rsid w:val="005F38F0"/>
    <w:rsid w:val="005F5794"/>
    <w:rsid w:val="005F5CD1"/>
    <w:rsid w:val="005F6469"/>
    <w:rsid w:val="005F6DF6"/>
    <w:rsid w:val="00600260"/>
    <w:rsid w:val="006038E2"/>
    <w:rsid w:val="00604136"/>
    <w:rsid w:val="00604B45"/>
    <w:rsid w:val="00604CDD"/>
    <w:rsid w:val="0060763B"/>
    <w:rsid w:val="00610EC6"/>
    <w:rsid w:val="006114C0"/>
    <w:rsid w:val="00612801"/>
    <w:rsid w:val="00612BF1"/>
    <w:rsid w:val="006137D9"/>
    <w:rsid w:val="00613C4F"/>
    <w:rsid w:val="00615518"/>
    <w:rsid w:val="0061572C"/>
    <w:rsid w:val="00615735"/>
    <w:rsid w:val="00615C1E"/>
    <w:rsid w:val="00615F78"/>
    <w:rsid w:val="00616D24"/>
    <w:rsid w:val="00617F56"/>
    <w:rsid w:val="006201A6"/>
    <w:rsid w:val="00620359"/>
    <w:rsid w:val="00620D43"/>
    <w:rsid w:val="00622BC8"/>
    <w:rsid w:val="00623706"/>
    <w:rsid w:val="00623B78"/>
    <w:rsid w:val="00625062"/>
    <w:rsid w:val="00625B9F"/>
    <w:rsid w:val="00626EC9"/>
    <w:rsid w:val="006272EA"/>
    <w:rsid w:val="006306D7"/>
    <w:rsid w:val="0063139F"/>
    <w:rsid w:val="00631EF4"/>
    <w:rsid w:val="006340AD"/>
    <w:rsid w:val="006401C6"/>
    <w:rsid w:val="0064091F"/>
    <w:rsid w:val="00641F55"/>
    <w:rsid w:val="00644691"/>
    <w:rsid w:val="00644A6C"/>
    <w:rsid w:val="00644E0E"/>
    <w:rsid w:val="0064582C"/>
    <w:rsid w:val="00645ECD"/>
    <w:rsid w:val="00646980"/>
    <w:rsid w:val="00650EE9"/>
    <w:rsid w:val="006518A6"/>
    <w:rsid w:val="0065219C"/>
    <w:rsid w:val="00653315"/>
    <w:rsid w:val="00653F1C"/>
    <w:rsid w:val="00655D84"/>
    <w:rsid w:val="00657990"/>
    <w:rsid w:val="00660404"/>
    <w:rsid w:val="0066114E"/>
    <w:rsid w:val="00661B85"/>
    <w:rsid w:val="00662D08"/>
    <w:rsid w:val="00662DF1"/>
    <w:rsid w:val="00665A51"/>
    <w:rsid w:val="00665E83"/>
    <w:rsid w:val="00667325"/>
    <w:rsid w:val="006674DC"/>
    <w:rsid w:val="00667AA6"/>
    <w:rsid w:val="00667B37"/>
    <w:rsid w:val="0067210E"/>
    <w:rsid w:val="006722A6"/>
    <w:rsid w:val="006748EE"/>
    <w:rsid w:val="00675E14"/>
    <w:rsid w:val="0067666E"/>
    <w:rsid w:val="00680125"/>
    <w:rsid w:val="00681BB1"/>
    <w:rsid w:val="006822F6"/>
    <w:rsid w:val="0068241A"/>
    <w:rsid w:val="006831A5"/>
    <w:rsid w:val="00683E76"/>
    <w:rsid w:val="00687ED2"/>
    <w:rsid w:val="006903FC"/>
    <w:rsid w:val="00694467"/>
    <w:rsid w:val="006951FD"/>
    <w:rsid w:val="00695DFA"/>
    <w:rsid w:val="00697F92"/>
    <w:rsid w:val="006A30B2"/>
    <w:rsid w:val="006A39BE"/>
    <w:rsid w:val="006A42F8"/>
    <w:rsid w:val="006A467D"/>
    <w:rsid w:val="006A4E3F"/>
    <w:rsid w:val="006A6726"/>
    <w:rsid w:val="006A786B"/>
    <w:rsid w:val="006B0482"/>
    <w:rsid w:val="006B0DE2"/>
    <w:rsid w:val="006B3377"/>
    <w:rsid w:val="006B492C"/>
    <w:rsid w:val="006B5638"/>
    <w:rsid w:val="006B69DC"/>
    <w:rsid w:val="006B70FD"/>
    <w:rsid w:val="006B772B"/>
    <w:rsid w:val="006B7803"/>
    <w:rsid w:val="006C09BE"/>
    <w:rsid w:val="006C09D6"/>
    <w:rsid w:val="006C0CCE"/>
    <w:rsid w:val="006C0F08"/>
    <w:rsid w:val="006C1BB5"/>
    <w:rsid w:val="006C1F47"/>
    <w:rsid w:val="006C4299"/>
    <w:rsid w:val="006C522F"/>
    <w:rsid w:val="006C72B8"/>
    <w:rsid w:val="006C7FA0"/>
    <w:rsid w:val="006D0265"/>
    <w:rsid w:val="006D033D"/>
    <w:rsid w:val="006D05EF"/>
    <w:rsid w:val="006D0C73"/>
    <w:rsid w:val="006D0CD5"/>
    <w:rsid w:val="006D2F26"/>
    <w:rsid w:val="006D5233"/>
    <w:rsid w:val="006D6E39"/>
    <w:rsid w:val="006D748B"/>
    <w:rsid w:val="006E0680"/>
    <w:rsid w:val="006E0B9C"/>
    <w:rsid w:val="006E16DE"/>
    <w:rsid w:val="006E1CAE"/>
    <w:rsid w:val="006E2797"/>
    <w:rsid w:val="006E2849"/>
    <w:rsid w:val="006E4DA0"/>
    <w:rsid w:val="006E631E"/>
    <w:rsid w:val="006E66DC"/>
    <w:rsid w:val="006E6769"/>
    <w:rsid w:val="006E7DB1"/>
    <w:rsid w:val="006F0BA9"/>
    <w:rsid w:val="006F0C2C"/>
    <w:rsid w:val="006F1334"/>
    <w:rsid w:val="006F1DB3"/>
    <w:rsid w:val="006F24FE"/>
    <w:rsid w:val="006F2721"/>
    <w:rsid w:val="006F37A6"/>
    <w:rsid w:val="006F4179"/>
    <w:rsid w:val="007004C6"/>
    <w:rsid w:val="00701E85"/>
    <w:rsid w:val="00703098"/>
    <w:rsid w:val="007048D6"/>
    <w:rsid w:val="0071106E"/>
    <w:rsid w:val="00711F6C"/>
    <w:rsid w:val="00712EA0"/>
    <w:rsid w:val="0071322C"/>
    <w:rsid w:val="00715FC0"/>
    <w:rsid w:val="00716C87"/>
    <w:rsid w:val="00717C08"/>
    <w:rsid w:val="007203BB"/>
    <w:rsid w:val="0072337C"/>
    <w:rsid w:val="007246E6"/>
    <w:rsid w:val="00727BD8"/>
    <w:rsid w:val="0073005C"/>
    <w:rsid w:val="007303DA"/>
    <w:rsid w:val="007311AE"/>
    <w:rsid w:val="00734137"/>
    <w:rsid w:val="007351C9"/>
    <w:rsid w:val="007352E3"/>
    <w:rsid w:val="00736949"/>
    <w:rsid w:val="00737C41"/>
    <w:rsid w:val="007403C2"/>
    <w:rsid w:val="00741675"/>
    <w:rsid w:val="007425ED"/>
    <w:rsid w:val="00742873"/>
    <w:rsid w:val="0074688F"/>
    <w:rsid w:val="00747382"/>
    <w:rsid w:val="00750547"/>
    <w:rsid w:val="007519B1"/>
    <w:rsid w:val="00751DFE"/>
    <w:rsid w:val="007521C8"/>
    <w:rsid w:val="00752BA5"/>
    <w:rsid w:val="00752EE5"/>
    <w:rsid w:val="00753622"/>
    <w:rsid w:val="00754EF7"/>
    <w:rsid w:val="00755778"/>
    <w:rsid w:val="00755C8A"/>
    <w:rsid w:val="007608D9"/>
    <w:rsid w:val="00760FD4"/>
    <w:rsid w:val="00761751"/>
    <w:rsid w:val="00762025"/>
    <w:rsid w:val="00764558"/>
    <w:rsid w:val="00765606"/>
    <w:rsid w:val="00766403"/>
    <w:rsid w:val="00767252"/>
    <w:rsid w:val="0077087E"/>
    <w:rsid w:val="00771374"/>
    <w:rsid w:val="007717DC"/>
    <w:rsid w:val="00772AEC"/>
    <w:rsid w:val="007734A5"/>
    <w:rsid w:val="007744C7"/>
    <w:rsid w:val="007808B0"/>
    <w:rsid w:val="00780D90"/>
    <w:rsid w:val="007829AE"/>
    <w:rsid w:val="00782CB1"/>
    <w:rsid w:val="0078585C"/>
    <w:rsid w:val="0078677C"/>
    <w:rsid w:val="0078705E"/>
    <w:rsid w:val="007875DA"/>
    <w:rsid w:val="00791197"/>
    <w:rsid w:val="00792B5D"/>
    <w:rsid w:val="00793531"/>
    <w:rsid w:val="00793D7D"/>
    <w:rsid w:val="00795508"/>
    <w:rsid w:val="0079581D"/>
    <w:rsid w:val="00795873"/>
    <w:rsid w:val="007966A0"/>
    <w:rsid w:val="007A080C"/>
    <w:rsid w:val="007A0D65"/>
    <w:rsid w:val="007A33C3"/>
    <w:rsid w:val="007A3AB1"/>
    <w:rsid w:val="007A43F4"/>
    <w:rsid w:val="007A5E52"/>
    <w:rsid w:val="007A63D6"/>
    <w:rsid w:val="007A6D95"/>
    <w:rsid w:val="007B048E"/>
    <w:rsid w:val="007B1902"/>
    <w:rsid w:val="007B279C"/>
    <w:rsid w:val="007B38D7"/>
    <w:rsid w:val="007B424D"/>
    <w:rsid w:val="007B6999"/>
    <w:rsid w:val="007B6AB0"/>
    <w:rsid w:val="007C1D01"/>
    <w:rsid w:val="007C245A"/>
    <w:rsid w:val="007C3F6D"/>
    <w:rsid w:val="007C47F0"/>
    <w:rsid w:val="007C6F9A"/>
    <w:rsid w:val="007C74BB"/>
    <w:rsid w:val="007D03A1"/>
    <w:rsid w:val="007D04C5"/>
    <w:rsid w:val="007D4760"/>
    <w:rsid w:val="007D4AC0"/>
    <w:rsid w:val="007D79EF"/>
    <w:rsid w:val="007E1593"/>
    <w:rsid w:val="007E1620"/>
    <w:rsid w:val="007E18B6"/>
    <w:rsid w:val="007E2CE0"/>
    <w:rsid w:val="007E2EA7"/>
    <w:rsid w:val="007E3386"/>
    <w:rsid w:val="007E4709"/>
    <w:rsid w:val="007E6C86"/>
    <w:rsid w:val="007E6EBD"/>
    <w:rsid w:val="007E7E36"/>
    <w:rsid w:val="007F0704"/>
    <w:rsid w:val="007F103F"/>
    <w:rsid w:val="007F3DC6"/>
    <w:rsid w:val="007F4060"/>
    <w:rsid w:val="007F4B16"/>
    <w:rsid w:val="007F5CE3"/>
    <w:rsid w:val="007F64BC"/>
    <w:rsid w:val="007F6F9D"/>
    <w:rsid w:val="008008EA"/>
    <w:rsid w:val="00800A7E"/>
    <w:rsid w:val="00803063"/>
    <w:rsid w:val="00804896"/>
    <w:rsid w:val="008051FD"/>
    <w:rsid w:val="0080565C"/>
    <w:rsid w:val="00810238"/>
    <w:rsid w:val="00812071"/>
    <w:rsid w:val="00813830"/>
    <w:rsid w:val="00813D57"/>
    <w:rsid w:val="00813E3B"/>
    <w:rsid w:val="008143F1"/>
    <w:rsid w:val="00814730"/>
    <w:rsid w:val="008147DD"/>
    <w:rsid w:val="008208E8"/>
    <w:rsid w:val="0082140A"/>
    <w:rsid w:val="00822FF2"/>
    <w:rsid w:val="00825527"/>
    <w:rsid w:val="00825804"/>
    <w:rsid w:val="00826E41"/>
    <w:rsid w:val="00827B43"/>
    <w:rsid w:val="00831675"/>
    <w:rsid w:val="00833403"/>
    <w:rsid w:val="008344D3"/>
    <w:rsid w:val="00836ABA"/>
    <w:rsid w:val="00837870"/>
    <w:rsid w:val="008378E5"/>
    <w:rsid w:val="008401BF"/>
    <w:rsid w:val="00841AED"/>
    <w:rsid w:val="00842195"/>
    <w:rsid w:val="00844988"/>
    <w:rsid w:val="00851216"/>
    <w:rsid w:val="00851689"/>
    <w:rsid w:val="008535E1"/>
    <w:rsid w:val="00854127"/>
    <w:rsid w:val="008542E0"/>
    <w:rsid w:val="008548C4"/>
    <w:rsid w:val="008565DD"/>
    <w:rsid w:val="00856716"/>
    <w:rsid w:val="00856921"/>
    <w:rsid w:val="00857291"/>
    <w:rsid w:val="008606CB"/>
    <w:rsid w:val="008609A4"/>
    <w:rsid w:val="00860AEE"/>
    <w:rsid w:val="00861B5B"/>
    <w:rsid w:val="00863EFD"/>
    <w:rsid w:val="00864002"/>
    <w:rsid w:val="00864DE3"/>
    <w:rsid w:val="00866C81"/>
    <w:rsid w:val="008672FE"/>
    <w:rsid w:val="0087020D"/>
    <w:rsid w:val="00870389"/>
    <w:rsid w:val="008715F2"/>
    <w:rsid w:val="00873551"/>
    <w:rsid w:val="00873FE6"/>
    <w:rsid w:val="00874227"/>
    <w:rsid w:val="008742AE"/>
    <w:rsid w:val="00874A93"/>
    <w:rsid w:val="00874AFD"/>
    <w:rsid w:val="008771CF"/>
    <w:rsid w:val="00881AD3"/>
    <w:rsid w:val="00882327"/>
    <w:rsid w:val="00883D60"/>
    <w:rsid w:val="00885406"/>
    <w:rsid w:val="00886005"/>
    <w:rsid w:val="008862EF"/>
    <w:rsid w:val="0089002A"/>
    <w:rsid w:val="00890201"/>
    <w:rsid w:val="0089028D"/>
    <w:rsid w:val="00890CBB"/>
    <w:rsid w:val="00891055"/>
    <w:rsid w:val="008926C1"/>
    <w:rsid w:val="00892924"/>
    <w:rsid w:val="0089312B"/>
    <w:rsid w:val="008933D8"/>
    <w:rsid w:val="008949F9"/>
    <w:rsid w:val="008970B1"/>
    <w:rsid w:val="00897505"/>
    <w:rsid w:val="008A1057"/>
    <w:rsid w:val="008A2646"/>
    <w:rsid w:val="008A2BD2"/>
    <w:rsid w:val="008A44E8"/>
    <w:rsid w:val="008A78FD"/>
    <w:rsid w:val="008B0415"/>
    <w:rsid w:val="008B16F4"/>
    <w:rsid w:val="008B253E"/>
    <w:rsid w:val="008B7CDA"/>
    <w:rsid w:val="008B7DE5"/>
    <w:rsid w:val="008C39EA"/>
    <w:rsid w:val="008C4046"/>
    <w:rsid w:val="008C53B9"/>
    <w:rsid w:val="008C58AB"/>
    <w:rsid w:val="008C633E"/>
    <w:rsid w:val="008D17D2"/>
    <w:rsid w:val="008D231F"/>
    <w:rsid w:val="008D2621"/>
    <w:rsid w:val="008D294E"/>
    <w:rsid w:val="008D4003"/>
    <w:rsid w:val="008D40BD"/>
    <w:rsid w:val="008D4400"/>
    <w:rsid w:val="008D4819"/>
    <w:rsid w:val="008D56BF"/>
    <w:rsid w:val="008D6B16"/>
    <w:rsid w:val="008D6C8F"/>
    <w:rsid w:val="008E2766"/>
    <w:rsid w:val="008E33E8"/>
    <w:rsid w:val="008E365D"/>
    <w:rsid w:val="008E496F"/>
    <w:rsid w:val="008E4C27"/>
    <w:rsid w:val="008E5E1B"/>
    <w:rsid w:val="008F0D55"/>
    <w:rsid w:val="008F10BF"/>
    <w:rsid w:val="008F386E"/>
    <w:rsid w:val="008F4554"/>
    <w:rsid w:val="008F6E32"/>
    <w:rsid w:val="008F799E"/>
    <w:rsid w:val="008F7B98"/>
    <w:rsid w:val="009012A7"/>
    <w:rsid w:val="009013B1"/>
    <w:rsid w:val="00901D98"/>
    <w:rsid w:val="00902190"/>
    <w:rsid w:val="0090267F"/>
    <w:rsid w:val="00902DFF"/>
    <w:rsid w:val="009058E7"/>
    <w:rsid w:val="00910316"/>
    <w:rsid w:val="0091079C"/>
    <w:rsid w:val="00910AFF"/>
    <w:rsid w:val="0091286F"/>
    <w:rsid w:val="00912C1B"/>
    <w:rsid w:val="00913A4F"/>
    <w:rsid w:val="00913DBC"/>
    <w:rsid w:val="00914C10"/>
    <w:rsid w:val="00916520"/>
    <w:rsid w:val="0092132C"/>
    <w:rsid w:val="00922218"/>
    <w:rsid w:val="0092226B"/>
    <w:rsid w:val="00922A6F"/>
    <w:rsid w:val="0092487F"/>
    <w:rsid w:val="00925D2B"/>
    <w:rsid w:val="009300EE"/>
    <w:rsid w:val="00932CB6"/>
    <w:rsid w:val="009332D6"/>
    <w:rsid w:val="00934023"/>
    <w:rsid w:val="00935E16"/>
    <w:rsid w:val="00936879"/>
    <w:rsid w:val="009409E7"/>
    <w:rsid w:val="00942E66"/>
    <w:rsid w:val="00942F1F"/>
    <w:rsid w:val="0094379B"/>
    <w:rsid w:val="00944121"/>
    <w:rsid w:val="00944DD0"/>
    <w:rsid w:val="00946E87"/>
    <w:rsid w:val="00950BA6"/>
    <w:rsid w:val="009522A5"/>
    <w:rsid w:val="00952344"/>
    <w:rsid w:val="00955064"/>
    <w:rsid w:val="0095568F"/>
    <w:rsid w:val="009556B0"/>
    <w:rsid w:val="00957C91"/>
    <w:rsid w:val="009606ED"/>
    <w:rsid w:val="009629D3"/>
    <w:rsid w:val="00963379"/>
    <w:rsid w:val="0096352B"/>
    <w:rsid w:val="0096457F"/>
    <w:rsid w:val="00965BD5"/>
    <w:rsid w:val="00966F04"/>
    <w:rsid w:val="00967414"/>
    <w:rsid w:val="0097055B"/>
    <w:rsid w:val="009707DF"/>
    <w:rsid w:val="00970D6F"/>
    <w:rsid w:val="00971ADD"/>
    <w:rsid w:val="00971F87"/>
    <w:rsid w:val="0097276D"/>
    <w:rsid w:val="0097341C"/>
    <w:rsid w:val="009738CD"/>
    <w:rsid w:val="00973D7E"/>
    <w:rsid w:val="009756F9"/>
    <w:rsid w:val="00975DA1"/>
    <w:rsid w:val="00976F4B"/>
    <w:rsid w:val="009803EE"/>
    <w:rsid w:val="00982E6C"/>
    <w:rsid w:val="00985426"/>
    <w:rsid w:val="009854E7"/>
    <w:rsid w:val="00986ADF"/>
    <w:rsid w:val="009877AE"/>
    <w:rsid w:val="00987EAB"/>
    <w:rsid w:val="00992060"/>
    <w:rsid w:val="00992EB8"/>
    <w:rsid w:val="0099383E"/>
    <w:rsid w:val="009939A7"/>
    <w:rsid w:val="00994E4E"/>
    <w:rsid w:val="00996EAF"/>
    <w:rsid w:val="009A06D2"/>
    <w:rsid w:val="009A0F21"/>
    <w:rsid w:val="009A11B6"/>
    <w:rsid w:val="009A2017"/>
    <w:rsid w:val="009A37A7"/>
    <w:rsid w:val="009A4364"/>
    <w:rsid w:val="009A4E42"/>
    <w:rsid w:val="009A5051"/>
    <w:rsid w:val="009A5493"/>
    <w:rsid w:val="009A5B50"/>
    <w:rsid w:val="009A6C38"/>
    <w:rsid w:val="009B0E4C"/>
    <w:rsid w:val="009B118D"/>
    <w:rsid w:val="009B3077"/>
    <w:rsid w:val="009B56BE"/>
    <w:rsid w:val="009B58D2"/>
    <w:rsid w:val="009B5BE3"/>
    <w:rsid w:val="009B5F59"/>
    <w:rsid w:val="009B65D8"/>
    <w:rsid w:val="009B71C6"/>
    <w:rsid w:val="009B71D0"/>
    <w:rsid w:val="009B734C"/>
    <w:rsid w:val="009B7716"/>
    <w:rsid w:val="009B7B62"/>
    <w:rsid w:val="009C33AD"/>
    <w:rsid w:val="009C5C71"/>
    <w:rsid w:val="009C637F"/>
    <w:rsid w:val="009C6865"/>
    <w:rsid w:val="009C7417"/>
    <w:rsid w:val="009C7556"/>
    <w:rsid w:val="009D01CD"/>
    <w:rsid w:val="009D1620"/>
    <w:rsid w:val="009D3CB6"/>
    <w:rsid w:val="009D45D6"/>
    <w:rsid w:val="009D45DF"/>
    <w:rsid w:val="009D4686"/>
    <w:rsid w:val="009D52A9"/>
    <w:rsid w:val="009D5C8F"/>
    <w:rsid w:val="009E2F3F"/>
    <w:rsid w:val="009E3A7E"/>
    <w:rsid w:val="009E5789"/>
    <w:rsid w:val="009E5986"/>
    <w:rsid w:val="009E706B"/>
    <w:rsid w:val="009F09CF"/>
    <w:rsid w:val="009F144B"/>
    <w:rsid w:val="009F3235"/>
    <w:rsid w:val="009F4B94"/>
    <w:rsid w:val="009F7A93"/>
    <w:rsid w:val="00A01EF9"/>
    <w:rsid w:val="00A02515"/>
    <w:rsid w:val="00A02CCE"/>
    <w:rsid w:val="00A10A42"/>
    <w:rsid w:val="00A10AF0"/>
    <w:rsid w:val="00A11684"/>
    <w:rsid w:val="00A120B1"/>
    <w:rsid w:val="00A122B9"/>
    <w:rsid w:val="00A15AD1"/>
    <w:rsid w:val="00A205B6"/>
    <w:rsid w:val="00A2164A"/>
    <w:rsid w:val="00A24690"/>
    <w:rsid w:val="00A2544C"/>
    <w:rsid w:val="00A262D5"/>
    <w:rsid w:val="00A27A88"/>
    <w:rsid w:val="00A30B91"/>
    <w:rsid w:val="00A30C07"/>
    <w:rsid w:val="00A32053"/>
    <w:rsid w:val="00A35503"/>
    <w:rsid w:val="00A36ECB"/>
    <w:rsid w:val="00A377A3"/>
    <w:rsid w:val="00A41235"/>
    <w:rsid w:val="00A4190D"/>
    <w:rsid w:val="00A43FFC"/>
    <w:rsid w:val="00A47B12"/>
    <w:rsid w:val="00A51577"/>
    <w:rsid w:val="00A516F3"/>
    <w:rsid w:val="00A5492B"/>
    <w:rsid w:val="00A55451"/>
    <w:rsid w:val="00A55E55"/>
    <w:rsid w:val="00A567FA"/>
    <w:rsid w:val="00A56DA5"/>
    <w:rsid w:val="00A615F9"/>
    <w:rsid w:val="00A61FD6"/>
    <w:rsid w:val="00A63794"/>
    <w:rsid w:val="00A6452B"/>
    <w:rsid w:val="00A67070"/>
    <w:rsid w:val="00A67304"/>
    <w:rsid w:val="00A67F48"/>
    <w:rsid w:val="00A7085E"/>
    <w:rsid w:val="00A713E4"/>
    <w:rsid w:val="00A71B19"/>
    <w:rsid w:val="00A7510A"/>
    <w:rsid w:val="00A7714F"/>
    <w:rsid w:val="00A773D3"/>
    <w:rsid w:val="00A77742"/>
    <w:rsid w:val="00A77C7A"/>
    <w:rsid w:val="00A802EE"/>
    <w:rsid w:val="00A81F11"/>
    <w:rsid w:val="00A82A51"/>
    <w:rsid w:val="00A84353"/>
    <w:rsid w:val="00A91FDB"/>
    <w:rsid w:val="00A9217B"/>
    <w:rsid w:val="00A9496C"/>
    <w:rsid w:val="00AA0018"/>
    <w:rsid w:val="00AA0994"/>
    <w:rsid w:val="00AA2437"/>
    <w:rsid w:val="00AA308E"/>
    <w:rsid w:val="00AA37B3"/>
    <w:rsid w:val="00AA45AB"/>
    <w:rsid w:val="00AA4B40"/>
    <w:rsid w:val="00AA57EC"/>
    <w:rsid w:val="00AB0204"/>
    <w:rsid w:val="00AB1309"/>
    <w:rsid w:val="00AB1A48"/>
    <w:rsid w:val="00AB35C8"/>
    <w:rsid w:val="00AB39F6"/>
    <w:rsid w:val="00AB5C58"/>
    <w:rsid w:val="00AB7BB3"/>
    <w:rsid w:val="00AC0DB7"/>
    <w:rsid w:val="00AC1C6D"/>
    <w:rsid w:val="00AC20D0"/>
    <w:rsid w:val="00AC299A"/>
    <w:rsid w:val="00AC2ABD"/>
    <w:rsid w:val="00AC402D"/>
    <w:rsid w:val="00AC4EE4"/>
    <w:rsid w:val="00AC5AD9"/>
    <w:rsid w:val="00AC5E7B"/>
    <w:rsid w:val="00AC74BA"/>
    <w:rsid w:val="00AC7CEE"/>
    <w:rsid w:val="00AD1031"/>
    <w:rsid w:val="00AD3399"/>
    <w:rsid w:val="00AE0D3B"/>
    <w:rsid w:val="00AE11D9"/>
    <w:rsid w:val="00AE1366"/>
    <w:rsid w:val="00AE7013"/>
    <w:rsid w:val="00AE7BA4"/>
    <w:rsid w:val="00AF0715"/>
    <w:rsid w:val="00AF13D9"/>
    <w:rsid w:val="00AF228A"/>
    <w:rsid w:val="00AF43AB"/>
    <w:rsid w:val="00AF4993"/>
    <w:rsid w:val="00AF6050"/>
    <w:rsid w:val="00B00882"/>
    <w:rsid w:val="00B01B54"/>
    <w:rsid w:val="00B01DE8"/>
    <w:rsid w:val="00B02889"/>
    <w:rsid w:val="00B03BDC"/>
    <w:rsid w:val="00B05487"/>
    <w:rsid w:val="00B060E3"/>
    <w:rsid w:val="00B06102"/>
    <w:rsid w:val="00B07148"/>
    <w:rsid w:val="00B102D8"/>
    <w:rsid w:val="00B10CFB"/>
    <w:rsid w:val="00B112C0"/>
    <w:rsid w:val="00B1131B"/>
    <w:rsid w:val="00B1244D"/>
    <w:rsid w:val="00B14F50"/>
    <w:rsid w:val="00B17C5D"/>
    <w:rsid w:val="00B20AD3"/>
    <w:rsid w:val="00B229F8"/>
    <w:rsid w:val="00B237EB"/>
    <w:rsid w:val="00B23BAE"/>
    <w:rsid w:val="00B2580B"/>
    <w:rsid w:val="00B2639D"/>
    <w:rsid w:val="00B2714B"/>
    <w:rsid w:val="00B30943"/>
    <w:rsid w:val="00B31579"/>
    <w:rsid w:val="00B31629"/>
    <w:rsid w:val="00B31EC4"/>
    <w:rsid w:val="00B33A29"/>
    <w:rsid w:val="00B36622"/>
    <w:rsid w:val="00B37026"/>
    <w:rsid w:val="00B42878"/>
    <w:rsid w:val="00B43FCD"/>
    <w:rsid w:val="00B45E00"/>
    <w:rsid w:val="00B47CE5"/>
    <w:rsid w:val="00B47D77"/>
    <w:rsid w:val="00B500BA"/>
    <w:rsid w:val="00B50D31"/>
    <w:rsid w:val="00B530BA"/>
    <w:rsid w:val="00B55732"/>
    <w:rsid w:val="00B600B9"/>
    <w:rsid w:val="00B612E8"/>
    <w:rsid w:val="00B61F33"/>
    <w:rsid w:val="00B62F1D"/>
    <w:rsid w:val="00B63351"/>
    <w:rsid w:val="00B639B6"/>
    <w:rsid w:val="00B63D5B"/>
    <w:rsid w:val="00B6403A"/>
    <w:rsid w:val="00B643A4"/>
    <w:rsid w:val="00B65E1A"/>
    <w:rsid w:val="00B66A30"/>
    <w:rsid w:val="00B67BA0"/>
    <w:rsid w:val="00B70742"/>
    <w:rsid w:val="00B71675"/>
    <w:rsid w:val="00B72529"/>
    <w:rsid w:val="00B730B5"/>
    <w:rsid w:val="00B736C5"/>
    <w:rsid w:val="00B74E2E"/>
    <w:rsid w:val="00B76507"/>
    <w:rsid w:val="00B80840"/>
    <w:rsid w:val="00B808ED"/>
    <w:rsid w:val="00B81800"/>
    <w:rsid w:val="00B8189E"/>
    <w:rsid w:val="00B820E1"/>
    <w:rsid w:val="00B83D6D"/>
    <w:rsid w:val="00B85B0C"/>
    <w:rsid w:val="00B8633F"/>
    <w:rsid w:val="00B874FE"/>
    <w:rsid w:val="00B90123"/>
    <w:rsid w:val="00B90F1B"/>
    <w:rsid w:val="00B92183"/>
    <w:rsid w:val="00B92C92"/>
    <w:rsid w:val="00B94664"/>
    <w:rsid w:val="00B96483"/>
    <w:rsid w:val="00B96FE5"/>
    <w:rsid w:val="00BA25AA"/>
    <w:rsid w:val="00BA4AFB"/>
    <w:rsid w:val="00BA4F78"/>
    <w:rsid w:val="00BA53CB"/>
    <w:rsid w:val="00BA557E"/>
    <w:rsid w:val="00BA739F"/>
    <w:rsid w:val="00BB1BB7"/>
    <w:rsid w:val="00BB2BC6"/>
    <w:rsid w:val="00BB2F99"/>
    <w:rsid w:val="00BB2FCD"/>
    <w:rsid w:val="00BB61D7"/>
    <w:rsid w:val="00BB7AE8"/>
    <w:rsid w:val="00BC0ECC"/>
    <w:rsid w:val="00BC1EEC"/>
    <w:rsid w:val="00BC22F1"/>
    <w:rsid w:val="00BC2E8F"/>
    <w:rsid w:val="00BC33D2"/>
    <w:rsid w:val="00BC3D7A"/>
    <w:rsid w:val="00BC7E92"/>
    <w:rsid w:val="00BC7EB2"/>
    <w:rsid w:val="00BD14EB"/>
    <w:rsid w:val="00BD1BEF"/>
    <w:rsid w:val="00BD3FDC"/>
    <w:rsid w:val="00BD5172"/>
    <w:rsid w:val="00BD5712"/>
    <w:rsid w:val="00BD756A"/>
    <w:rsid w:val="00BD7AA8"/>
    <w:rsid w:val="00BE0035"/>
    <w:rsid w:val="00BE10CC"/>
    <w:rsid w:val="00BE2954"/>
    <w:rsid w:val="00BE3C56"/>
    <w:rsid w:val="00BE6C3B"/>
    <w:rsid w:val="00BE7443"/>
    <w:rsid w:val="00BE77E8"/>
    <w:rsid w:val="00BF09B7"/>
    <w:rsid w:val="00BF18EF"/>
    <w:rsid w:val="00BF2A16"/>
    <w:rsid w:val="00BF6424"/>
    <w:rsid w:val="00C009D5"/>
    <w:rsid w:val="00C00E9B"/>
    <w:rsid w:val="00C01EFA"/>
    <w:rsid w:val="00C03E07"/>
    <w:rsid w:val="00C04525"/>
    <w:rsid w:val="00C04546"/>
    <w:rsid w:val="00C04660"/>
    <w:rsid w:val="00C04ADD"/>
    <w:rsid w:val="00C05DDA"/>
    <w:rsid w:val="00C06035"/>
    <w:rsid w:val="00C06E3B"/>
    <w:rsid w:val="00C107D7"/>
    <w:rsid w:val="00C10B35"/>
    <w:rsid w:val="00C10CC8"/>
    <w:rsid w:val="00C11B97"/>
    <w:rsid w:val="00C11D31"/>
    <w:rsid w:val="00C14669"/>
    <w:rsid w:val="00C14B28"/>
    <w:rsid w:val="00C15C16"/>
    <w:rsid w:val="00C166AB"/>
    <w:rsid w:val="00C177F3"/>
    <w:rsid w:val="00C17E8D"/>
    <w:rsid w:val="00C21CF4"/>
    <w:rsid w:val="00C22231"/>
    <w:rsid w:val="00C312F7"/>
    <w:rsid w:val="00C3224D"/>
    <w:rsid w:val="00C33987"/>
    <w:rsid w:val="00C33A8D"/>
    <w:rsid w:val="00C33ECC"/>
    <w:rsid w:val="00C3568C"/>
    <w:rsid w:val="00C36510"/>
    <w:rsid w:val="00C37EE1"/>
    <w:rsid w:val="00C403CD"/>
    <w:rsid w:val="00C40BDD"/>
    <w:rsid w:val="00C429AF"/>
    <w:rsid w:val="00C43A3E"/>
    <w:rsid w:val="00C47ACF"/>
    <w:rsid w:val="00C47D88"/>
    <w:rsid w:val="00C50F58"/>
    <w:rsid w:val="00C51256"/>
    <w:rsid w:val="00C52857"/>
    <w:rsid w:val="00C572C1"/>
    <w:rsid w:val="00C576DC"/>
    <w:rsid w:val="00C60E07"/>
    <w:rsid w:val="00C60FAE"/>
    <w:rsid w:val="00C62759"/>
    <w:rsid w:val="00C62ACF"/>
    <w:rsid w:val="00C64E98"/>
    <w:rsid w:val="00C65075"/>
    <w:rsid w:val="00C675FA"/>
    <w:rsid w:val="00C67A17"/>
    <w:rsid w:val="00C713F7"/>
    <w:rsid w:val="00C718D1"/>
    <w:rsid w:val="00C71EA2"/>
    <w:rsid w:val="00C728D0"/>
    <w:rsid w:val="00C771C8"/>
    <w:rsid w:val="00C80384"/>
    <w:rsid w:val="00C82597"/>
    <w:rsid w:val="00C82F4B"/>
    <w:rsid w:val="00C8346E"/>
    <w:rsid w:val="00C83893"/>
    <w:rsid w:val="00C83FA1"/>
    <w:rsid w:val="00C85B3F"/>
    <w:rsid w:val="00C85EC2"/>
    <w:rsid w:val="00C865B7"/>
    <w:rsid w:val="00C868D5"/>
    <w:rsid w:val="00C86AD2"/>
    <w:rsid w:val="00C919E7"/>
    <w:rsid w:val="00C9412B"/>
    <w:rsid w:val="00C946C5"/>
    <w:rsid w:val="00C950A4"/>
    <w:rsid w:val="00C9573C"/>
    <w:rsid w:val="00C95D3E"/>
    <w:rsid w:val="00C971FB"/>
    <w:rsid w:val="00C972C7"/>
    <w:rsid w:val="00C97621"/>
    <w:rsid w:val="00CA17FC"/>
    <w:rsid w:val="00CA1FE2"/>
    <w:rsid w:val="00CA3910"/>
    <w:rsid w:val="00CA40BC"/>
    <w:rsid w:val="00CA534D"/>
    <w:rsid w:val="00CA6C73"/>
    <w:rsid w:val="00CB0C7C"/>
    <w:rsid w:val="00CB1080"/>
    <w:rsid w:val="00CB3278"/>
    <w:rsid w:val="00CB34C5"/>
    <w:rsid w:val="00CB3663"/>
    <w:rsid w:val="00CB3C51"/>
    <w:rsid w:val="00CB496A"/>
    <w:rsid w:val="00CB52CF"/>
    <w:rsid w:val="00CB603B"/>
    <w:rsid w:val="00CB66E1"/>
    <w:rsid w:val="00CB6EE9"/>
    <w:rsid w:val="00CB7377"/>
    <w:rsid w:val="00CC0835"/>
    <w:rsid w:val="00CC083D"/>
    <w:rsid w:val="00CC2C2A"/>
    <w:rsid w:val="00CC38E3"/>
    <w:rsid w:val="00CC52C0"/>
    <w:rsid w:val="00CC5CA4"/>
    <w:rsid w:val="00CD1002"/>
    <w:rsid w:val="00CD1D8E"/>
    <w:rsid w:val="00CD3C00"/>
    <w:rsid w:val="00CD3C34"/>
    <w:rsid w:val="00CD41B7"/>
    <w:rsid w:val="00CD43B9"/>
    <w:rsid w:val="00CD4B0D"/>
    <w:rsid w:val="00CD4FF1"/>
    <w:rsid w:val="00CD69E8"/>
    <w:rsid w:val="00CD6CA1"/>
    <w:rsid w:val="00CE23D4"/>
    <w:rsid w:val="00CE285F"/>
    <w:rsid w:val="00CE2A6A"/>
    <w:rsid w:val="00CE2ED6"/>
    <w:rsid w:val="00CE43CF"/>
    <w:rsid w:val="00CE5C1B"/>
    <w:rsid w:val="00CE644C"/>
    <w:rsid w:val="00CE6A63"/>
    <w:rsid w:val="00CE71AF"/>
    <w:rsid w:val="00CF07CA"/>
    <w:rsid w:val="00CF0F82"/>
    <w:rsid w:val="00CF1A7F"/>
    <w:rsid w:val="00CF5485"/>
    <w:rsid w:val="00CF6031"/>
    <w:rsid w:val="00CF65F6"/>
    <w:rsid w:val="00CF668E"/>
    <w:rsid w:val="00CF6D90"/>
    <w:rsid w:val="00D0133C"/>
    <w:rsid w:val="00D01CB3"/>
    <w:rsid w:val="00D02AA2"/>
    <w:rsid w:val="00D02C6C"/>
    <w:rsid w:val="00D04835"/>
    <w:rsid w:val="00D07015"/>
    <w:rsid w:val="00D108F0"/>
    <w:rsid w:val="00D1138A"/>
    <w:rsid w:val="00D12891"/>
    <w:rsid w:val="00D12A94"/>
    <w:rsid w:val="00D13DA0"/>
    <w:rsid w:val="00D157A2"/>
    <w:rsid w:val="00D17313"/>
    <w:rsid w:val="00D222CA"/>
    <w:rsid w:val="00D24AF5"/>
    <w:rsid w:val="00D257E6"/>
    <w:rsid w:val="00D25F4D"/>
    <w:rsid w:val="00D32A52"/>
    <w:rsid w:val="00D341A0"/>
    <w:rsid w:val="00D342BA"/>
    <w:rsid w:val="00D35AAA"/>
    <w:rsid w:val="00D37080"/>
    <w:rsid w:val="00D37620"/>
    <w:rsid w:val="00D40963"/>
    <w:rsid w:val="00D41F3E"/>
    <w:rsid w:val="00D4262D"/>
    <w:rsid w:val="00D42853"/>
    <w:rsid w:val="00D4293F"/>
    <w:rsid w:val="00D42BC7"/>
    <w:rsid w:val="00D42F9D"/>
    <w:rsid w:val="00D46A97"/>
    <w:rsid w:val="00D475D9"/>
    <w:rsid w:val="00D54704"/>
    <w:rsid w:val="00D55036"/>
    <w:rsid w:val="00D576C4"/>
    <w:rsid w:val="00D57D90"/>
    <w:rsid w:val="00D607C6"/>
    <w:rsid w:val="00D62A99"/>
    <w:rsid w:val="00D64861"/>
    <w:rsid w:val="00D659E6"/>
    <w:rsid w:val="00D66D83"/>
    <w:rsid w:val="00D71854"/>
    <w:rsid w:val="00D7267E"/>
    <w:rsid w:val="00D7348E"/>
    <w:rsid w:val="00D748A8"/>
    <w:rsid w:val="00D7503A"/>
    <w:rsid w:val="00D75366"/>
    <w:rsid w:val="00D76836"/>
    <w:rsid w:val="00D80B77"/>
    <w:rsid w:val="00D81C21"/>
    <w:rsid w:val="00D8245F"/>
    <w:rsid w:val="00D8250C"/>
    <w:rsid w:val="00D828C0"/>
    <w:rsid w:val="00D82C48"/>
    <w:rsid w:val="00D83BC6"/>
    <w:rsid w:val="00D84FF6"/>
    <w:rsid w:val="00D85AB7"/>
    <w:rsid w:val="00D874BA"/>
    <w:rsid w:val="00D90121"/>
    <w:rsid w:val="00D9112D"/>
    <w:rsid w:val="00D948B6"/>
    <w:rsid w:val="00D954E0"/>
    <w:rsid w:val="00D9598C"/>
    <w:rsid w:val="00D9641A"/>
    <w:rsid w:val="00D978F5"/>
    <w:rsid w:val="00DA014D"/>
    <w:rsid w:val="00DA2264"/>
    <w:rsid w:val="00DA23C2"/>
    <w:rsid w:val="00DA5BE1"/>
    <w:rsid w:val="00DA64DF"/>
    <w:rsid w:val="00DA6F29"/>
    <w:rsid w:val="00DA7156"/>
    <w:rsid w:val="00DA72A9"/>
    <w:rsid w:val="00DB0A31"/>
    <w:rsid w:val="00DB20B3"/>
    <w:rsid w:val="00DB3BD6"/>
    <w:rsid w:val="00DB54D9"/>
    <w:rsid w:val="00DB553A"/>
    <w:rsid w:val="00DB56FA"/>
    <w:rsid w:val="00DB6004"/>
    <w:rsid w:val="00DB6801"/>
    <w:rsid w:val="00DC01CB"/>
    <w:rsid w:val="00DC5256"/>
    <w:rsid w:val="00DC5AA2"/>
    <w:rsid w:val="00DC6D47"/>
    <w:rsid w:val="00DC76B5"/>
    <w:rsid w:val="00DC77D2"/>
    <w:rsid w:val="00DC7D25"/>
    <w:rsid w:val="00DC7EE9"/>
    <w:rsid w:val="00DD0672"/>
    <w:rsid w:val="00DD1F2E"/>
    <w:rsid w:val="00DD2575"/>
    <w:rsid w:val="00DD2B9C"/>
    <w:rsid w:val="00DD30F8"/>
    <w:rsid w:val="00DD56E1"/>
    <w:rsid w:val="00DD7340"/>
    <w:rsid w:val="00DE0513"/>
    <w:rsid w:val="00DE1AED"/>
    <w:rsid w:val="00DE23AE"/>
    <w:rsid w:val="00DE23CF"/>
    <w:rsid w:val="00DE3F6D"/>
    <w:rsid w:val="00DE6D10"/>
    <w:rsid w:val="00DE6DFC"/>
    <w:rsid w:val="00DE73C7"/>
    <w:rsid w:val="00DF0979"/>
    <w:rsid w:val="00DF0DD4"/>
    <w:rsid w:val="00DF1F03"/>
    <w:rsid w:val="00DF335C"/>
    <w:rsid w:val="00DF4592"/>
    <w:rsid w:val="00DF5384"/>
    <w:rsid w:val="00DF68AF"/>
    <w:rsid w:val="00DF6E7D"/>
    <w:rsid w:val="00E02080"/>
    <w:rsid w:val="00E03A9D"/>
    <w:rsid w:val="00E03EE1"/>
    <w:rsid w:val="00E04A70"/>
    <w:rsid w:val="00E04AA4"/>
    <w:rsid w:val="00E077D7"/>
    <w:rsid w:val="00E10226"/>
    <w:rsid w:val="00E10DEB"/>
    <w:rsid w:val="00E11579"/>
    <w:rsid w:val="00E119BD"/>
    <w:rsid w:val="00E12280"/>
    <w:rsid w:val="00E1422C"/>
    <w:rsid w:val="00E15BD0"/>
    <w:rsid w:val="00E173A1"/>
    <w:rsid w:val="00E20509"/>
    <w:rsid w:val="00E209EF"/>
    <w:rsid w:val="00E21307"/>
    <w:rsid w:val="00E21A27"/>
    <w:rsid w:val="00E22928"/>
    <w:rsid w:val="00E31079"/>
    <w:rsid w:val="00E36E07"/>
    <w:rsid w:val="00E36F78"/>
    <w:rsid w:val="00E3747B"/>
    <w:rsid w:val="00E400DF"/>
    <w:rsid w:val="00E40AFA"/>
    <w:rsid w:val="00E4105B"/>
    <w:rsid w:val="00E413F7"/>
    <w:rsid w:val="00E4380C"/>
    <w:rsid w:val="00E43E41"/>
    <w:rsid w:val="00E441A9"/>
    <w:rsid w:val="00E441C7"/>
    <w:rsid w:val="00E465FD"/>
    <w:rsid w:val="00E46894"/>
    <w:rsid w:val="00E47478"/>
    <w:rsid w:val="00E50B3A"/>
    <w:rsid w:val="00E50B9D"/>
    <w:rsid w:val="00E50CD1"/>
    <w:rsid w:val="00E5105D"/>
    <w:rsid w:val="00E51343"/>
    <w:rsid w:val="00E51448"/>
    <w:rsid w:val="00E51628"/>
    <w:rsid w:val="00E549C0"/>
    <w:rsid w:val="00E54A27"/>
    <w:rsid w:val="00E558F4"/>
    <w:rsid w:val="00E56CEA"/>
    <w:rsid w:val="00E573A1"/>
    <w:rsid w:val="00E6000E"/>
    <w:rsid w:val="00E62141"/>
    <w:rsid w:val="00E62AE2"/>
    <w:rsid w:val="00E62FF1"/>
    <w:rsid w:val="00E64097"/>
    <w:rsid w:val="00E65082"/>
    <w:rsid w:val="00E650E5"/>
    <w:rsid w:val="00E651FA"/>
    <w:rsid w:val="00E676DE"/>
    <w:rsid w:val="00E7004D"/>
    <w:rsid w:val="00E730C4"/>
    <w:rsid w:val="00E73BD6"/>
    <w:rsid w:val="00E7579F"/>
    <w:rsid w:val="00E75A06"/>
    <w:rsid w:val="00E774D3"/>
    <w:rsid w:val="00E8048B"/>
    <w:rsid w:val="00E8667A"/>
    <w:rsid w:val="00E87E6E"/>
    <w:rsid w:val="00E87FF9"/>
    <w:rsid w:val="00E90F3A"/>
    <w:rsid w:val="00E912C2"/>
    <w:rsid w:val="00E930A5"/>
    <w:rsid w:val="00E941B7"/>
    <w:rsid w:val="00E948F8"/>
    <w:rsid w:val="00E95953"/>
    <w:rsid w:val="00E96AE0"/>
    <w:rsid w:val="00E9701D"/>
    <w:rsid w:val="00EA1001"/>
    <w:rsid w:val="00EA11F3"/>
    <w:rsid w:val="00EA28E2"/>
    <w:rsid w:val="00EA2B67"/>
    <w:rsid w:val="00EA4B7D"/>
    <w:rsid w:val="00EA5D67"/>
    <w:rsid w:val="00EB36C0"/>
    <w:rsid w:val="00EB6426"/>
    <w:rsid w:val="00EB73A8"/>
    <w:rsid w:val="00EB7AB8"/>
    <w:rsid w:val="00EC0AE5"/>
    <w:rsid w:val="00EC0B46"/>
    <w:rsid w:val="00EC39D4"/>
    <w:rsid w:val="00EC6832"/>
    <w:rsid w:val="00EC6914"/>
    <w:rsid w:val="00EC7F86"/>
    <w:rsid w:val="00ED138A"/>
    <w:rsid w:val="00ED2CED"/>
    <w:rsid w:val="00ED34E4"/>
    <w:rsid w:val="00ED35E6"/>
    <w:rsid w:val="00ED3C4C"/>
    <w:rsid w:val="00ED3D53"/>
    <w:rsid w:val="00ED62AC"/>
    <w:rsid w:val="00ED6575"/>
    <w:rsid w:val="00ED6A8A"/>
    <w:rsid w:val="00ED7398"/>
    <w:rsid w:val="00ED7842"/>
    <w:rsid w:val="00ED7AD2"/>
    <w:rsid w:val="00EE4F5D"/>
    <w:rsid w:val="00EE59C3"/>
    <w:rsid w:val="00EE602B"/>
    <w:rsid w:val="00EE680A"/>
    <w:rsid w:val="00EF0811"/>
    <w:rsid w:val="00EF1188"/>
    <w:rsid w:val="00EF2FD7"/>
    <w:rsid w:val="00EF365E"/>
    <w:rsid w:val="00EF59ED"/>
    <w:rsid w:val="00EF5E1A"/>
    <w:rsid w:val="00EF6E3C"/>
    <w:rsid w:val="00F0182A"/>
    <w:rsid w:val="00F0258D"/>
    <w:rsid w:val="00F02C31"/>
    <w:rsid w:val="00F032ED"/>
    <w:rsid w:val="00F03C27"/>
    <w:rsid w:val="00F0417D"/>
    <w:rsid w:val="00F051A9"/>
    <w:rsid w:val="00F05873"/>
    <w:rsid w:val="00F071B5"/>
    <w:rsid w:val="00F07443"/>
    <w:rsid w:val="00F1075A"/>
    <w:rsid w:val="00F11429"/>
    <w:rsid w:val="00F115CE"/>
    <w:rsid w:val="00F1190F"/>
    <w:rsid w:val="00F12B76"/>
    <w:rsid w:val="00F14DC6"/>
    <w:rsid w:val="00F15E21"/>
    <w:rsid w:val="00F1643D"/>
    <w:rsid w:val="00F16DD9"/>
    <w:rsid w:val="00F172E8"/>
    <w:rsid w:val="00F305AA"/>
    <w:rsid w:val="00F30E56"/>
    <w:rsid w:val="00F30FD9"/>
    <w:rsid w:val="00F31E5D"/>
    <w:rsid w:val="00F33BEB"/>
    <w:rsid w:val="00F34425"/>
    <w:rsid w:val="00F36B36"/>
    <w:rsid w:val="00F3785B"/>
    <w:rsid w:val="00F37BA7"/>
    <w:rsid w:val="00F40020"/>
    <w:rsid w:val="00F40D3F"/>
    <w:rsid w:val="00F40D8D"/>
    <w:rsid w:val="00F4139E"/>
    <w:rsid w:val="00F42F77"/>
    <w:rsid w:val="00F454C0"/>
    <w:rsid w:val="00F45FF3"/>
    <w:rsid w:val="00F467AA"/>
    <w:rsid w:val="00F46B5B"/>
    <w:rsid w:val="00F4725C"/>
    <w:rsid w:val="00F476F8"/>
    <w:rsid w:val="00F4771E"/>
    <w:rsid w:val="00F47B92"/>
    <w:rsid w:val="00F51F98"/>
    <w:rsid w:val="00F52741"/>
    <w:rsid w:val="00F52BE2"/>
    <w:rsid w:val="00F5309D"/>
    <w:rsid w:val="00F53EDF"/>
    <w:rsid w:val="00F55001"/>
    <w:rsid w:val="00F57853"/>
    <w:rsid w:val="00F57AAB"/>
    <w:rsid w:val="00F6117C"/>
    <w:rsid w:val="00F612B3"/>
    <w:rsid w:val="00F61CB2"/>
    <w:rsid w:val="00F62030"/>
    <w:rsid w:val="00F62200"/>
    <w:rsid w:val="00F62354"/>
    <w:rsid w:val="00F62CE0"/>
    <w:rsid w:val="00F63AFA"/>
    <w:rsid w:val="00F65000"/>
    <w:rsid w:val="00F65064"/>
    <w:rsid w:val="00F65575"/>
    <w:rsid w:val="00F673DB"/>
    <w:rsid w:val="00F6754F"/>
    <w:rsid w:val="00F6796B"/>
    <w:rsid w:val="00F67FFC"/>
    <w:rsid w:val="00F70B66"/>
    <w:rsid w:val="00F7256B"/>
    <w:rsid w:val="00F72F2C"/>
    <w:rsid w:val="00F743A7"/>
    <w:rsid w:val="00F74617"/>
    <w:rsid w:val="00F74B1B"/>
    <w:rsid w:val="00F75FFF"/>
    <w:rsid w:val="00F76325"/>
    <w:rsid w:val="00F76354"/>
    <w:rsid w:val="00F776FC"/>
    <w:rsid w:val="00F804CE"/>
    <w:rsid w:val="00F80C81"/>
    <w:rsid w:val="00F814BD"/>
    <w:rsid w:val="00F8302B"/>
    <w:rsid w:val="00F83565"/>
    <w:rsid w:val="00F842BE"/>
    <w:rsid w:val="00F91771"/>
    <w:rsid w:val="00F91A86"/>
    <w:rsid w:val="00F91D37"/>
    <w:rsid w:val="00F9497A"/>
    <w:rsid w:val="00F963B4"/>
    <w:rsid w:val="00F968EF"/>
    <w:rsid w:val="00F969CE"/>
    <w:rsid w:val="00F976A9"/>
    <w:rsid w:val="00F97EB6"/>
    <w:rsid w:val="00FA1C15"/>
    <w:rsid w:val="00FA2BDC"/>
    <w:rsid w:val="00FA2C63"/>
    <w:rsid w:val="00FA350D"/>
    <w:rsid w:val="00FA3889"/>
    <w:rsid w:val="00FA3B6A"/>
    <w:rsid w:val="00FA3D24"/>
    <w:rsid w:val="00FA40CD"/>
    <w:rsid w:val="00FA56B8"/>
    <w:rsid w:val="00FA5A89"/>
    <w:rsid w:val="00FA600E"/>
    <w:rsid w:val="00FB217B"/>
    <w:rsid w:val="00FB3240"/>
    <w:rsid w:val="00FB41C0"/>
    <w:rsid w:val="00FB4E1F"/>
    <w:rsid w:val="00FB5229"/>
    <w:rsid w:val="00FB57A7"/>
    <w:rsid w:val="00FB5CC5"/>
    <w:rsid w:val="00FB5D33"/>
    <w:rsid w:val="00FB77EC"/>
    <w:rsid w:val="00FC0F48"/>
    <w:rsid w:val="00FC2B3F"/>
    <w:rsid w:val="00FC2C0E"/>
    <w:rsid w:val="00FC322D"/>
    <w:rsid w:val="00FC44B8"/>
    <w:rsid w:val="00FC463C"/>
    <w:rsid w:val="00FC480E"/>
    <w:rsid w:val="00FC484F"/>
    <w:rsid w:val="00FC4CB0"/>
    <w:rsid w:val="00FC59BA"/>
    <w:rsid w:val="00FC6974"/>
    <w:rsid w:val="00FC6A4C"/>
    <w:rsid w:val="00FC7CD3"/>
    <w:rsid w:val="00FD1A83"/>
    <w:rsid w:val="00FD4770"/>
    <w:rsid w:val="00FD66B3"/>
    <w:rsid w:val="00FE14F2"/>
    <w:rsid w:val="00FE19AC"/>
    <w:rsid w:val="00FE36A7"/>
    <w:rsid w:val="00FE43A4"/>
    <w:rsid w:val="00FE43B6"/>
    <w:rsid w:val="00FE4954"/>
    <w:rsid w:val="00FE4E6F"/>
    <w:rsid w:val="00FE5A7F"/>
    <w:rsid w:val="00FF1E6D"/>
    <w:rsid w:val="00FF5B34"/>
    <w:rsid w:val="00FF6286"/>
    <w:rsid w:val="00FF7D61"/>
  </w:rsids>
  <m:mathPr>
    <m:mathFont m:val="Cambria Math"/>
    <m:brkBin m:val="before"/>
    <m:brkBinSub m:val="--"/>
    <m:smallFrac m:val="0"/>
    <m:dispDef/>
    <m:lMargin m:val="0"/>
    <m:rMargin m:val="0"/>
    <m:defJc m:val="centerGroup"/>
    <m:wrapIndent m:val="1440"/>
    <m:intLim m:val="subSup"/>
    <m:naryLim m:val="undOvr"/>
  </m:mathPr>
  <w:themeFontLang w:val="es-C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3312E"/>
  <w15:chartTrackingRefBased/>
  <w15:docId w15:val="{908923F8-7CB9-4A34-816A-36606067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Humphreys"/>
    <w:qFormat/>
    <w:rsid w:val="00E10DEB"/>
    <w:rPr>
      <w:rFonts w:ascii="Myriad Pro" w:hAnsi="Myriad Pro"/>
      <w:color w:val="2E3B5D"/>
      <w:sz w:val="21"/>
    </w:rPr>
  </w:style>
  <w:style w:type="paragraph" w:styleId="Ttulo1">
    <w:name w:val="heading 1"/>
    <w:aliases w:val="Titulo Principal Informe Humphreys"/>
    <w:basedOn w:val="Normal"/>
    <w:next w:val="Normal"/>
    <w:link w:val="Ttulo1Car"/>
    <w:uiPriority w:val="9"/>
    <w:qFormat/>
    <w:rsid w:val="00E10DEB"/>
    <w:pPr>
      <w:keepNext/>
      <w:keepLines/>
      <w:spacing w:before="240" w:line="360" w:lineRule="auto"/>
      <w:outlineLvl w:val="0"/>
    </w:pPr>
    <w:rPr>
      <w:rFonts w:eastAsiaTheme="majorEastAsia" w:cstheme="majorBidi"/>
      <w:b/>
      <w:sz w:val="44"/>
      <w:szCs w:val="32"/>
    </w:rPr>
  </w:style>
  <w:style w:type="paragraph" w:styleId="Ttulo2">
    <w:name w:val="heading 2"/>
    <w:aliases w:val="Título Dentro del Informe Humphreys"/>
    <w:basedOn w:val="Normal"/>
    <w:next w:val="Normal"/>
    <w:link w:val="Ttulo2Car"/>
    <w:uiPriority w:val="9"/>
    <w:unhideWhenUsed/>
    <w:qFormat/>
    <w:rsid w:val="00E10DEB"/>
    <w:pPr>
      <w:keepNext/>
      <w:keepLines/>
      <w:spacing w:before="40" w:line="360" w:lineRule="auto"/>
      <w:jc w:val="center"/>
      <w:outlineLvl w:val="1"/>
    </w:pPr>
    <w:rPr>
      <w:rFonts w:ascii="Myriad Pro Light" w:eastAsiaTheme="majorEastAsia" w:hAnsi="Myriad Pro Light" w:cstheme="majorBidi"/>
      <w:b/>
      <w:sz w:val="32"/>
      <w:szCs w:val="26"/>
    </w:rPr>
  </w:style>
  <w:style w:type="paragraph" w:styleId="Ttulo3">
    <w:name w:val="heading 3"/>
    <w:aliases w:val="Pie de página Humphreys"/>
    <w:basedOn w:val="Normal"/>
    <w:next w:val="Normal"/>
    <w:link w:val="Ttulo3Car"/>
    <w:uiPriority w:val="9"/>
    <w:semiHidden/>
    <w:unhideWhenUsed/>
    <w:qFormat/>
    <w:rsid w:val="00CA17FC"/>
    <w:pPr>
      <w:keepNext/>
      <w:keepLines/>
      <w:tabs>
        <w:tab w:val="center" w:pos="4419"/>
        <w:tab w:val="right" w:pos="8838"/>
      </w:tabs>
      <w:spacing w:before="40"/>
      <w:outlineLvl w:val="2"/>
    </w:pPr>
    <w:rPr>
      <w:rFonts w:eastAsiaTheme="majorEastAsia" w:cstheme="majorBidi"/>
      <w:color w:val="FFFFFF" w:themeColor="background1"/>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RaznReseaHumphreys">
    <w:name w:val="Razón Reseña Humphreys"/>
    <w:basedOn w:val="Ttulo"/>
    <w:qFormat/>
    <w:rsid w:val="00E10DEB"/>
  </w:style>
  <w:style w:type="paragraph" w:customStyle="1" w:styleId="AnalistasHumphreys">
    <w:name w:val="Analistas Humphreys"/>
    <w:basedOn w:val="Normal"/>
    <w:qFormat/>
    <w:rsid w:val="00143B2F"/>
    <w:rPr>
      <w:color w:val="FFFFFF" w:themeColor="background1"/>
      <w:lang w:val="es-ES"/>
    </w:rPr>
  </w:style>
  <w:style w:type="character" w:styleId="Nmerodepgina">
    <w:name w:val="page number"/>
    <w:basedOn w:val="Fuentedeprrafopredeter"/>
    <w:uiPriority w:val="99"/>
    <w:semiHidden/>
    <w:unhideWhenUsed/>
    <w:rsid w:val="00366E6F"/>
  </w:style>
  <w:style w:type="paragraph" w:styleId="Descripcin">
    <w:name w:val="caption"/>
    <w:aliases w:val="Descripción tabla Humphreys"/>
    <w:basedOn w:val="Normal"/>
    <w:next w:val="Normal"/>
    <w:unhideWhenUsed/>
    <w:qFormat/>
    <w:rsid w:val="00B33A29"/>
    <w:pPr>
      <w:spacing w:after="200"/>
      <w:jc w:val="center"/>
    </w:pPr>
    <w:rPr>
      <w:i/>
      <w:iCs/>
      <w:sz w:val="18"/>
      <w:szCs w:val="18"/>
    </w:rPr>
  </w:style>
  <w:style w:type="character" w:customStyle="1" w:styleId="Ttulo1Car">
    <w:name w:val="Título 1 Car"/>
    <w:aliases w:val="Titulo Principal Informe Humphreys Car"/>
    <w:basedOn w:val="Fuentedeprrafopredeter"/>
    <w:link w:val="Ttulo1"/>
    <w:uiPriority w:val="9"/>
    <w:rsid w:val="00E10DEB"/>
    <w:rPr>
      <w:rFonts w:ascii="Myriad Pro" w:eastAsiaTheme="majorEastAsia" w:hAnsi="Myriad Pro" w:cstheme="majorBidi"/>
      <w:b/>
      <w:color w:val="2E3B5D"/>
      <w:sz w:val="44"/>
      <w:szCs w:val="32"/>
    </w:rPr>
  </w:style>
  <w:style w:type="character" w:customStyle="1" w:styleId="Ttulo2Car">
    <w:name w:val="Título 2 Car"/>
    <w:aliases w:val="Título Dentro del Informe Humphreys Car"/>
    <w:basedOn w:val="Fuentedeprrafopredeter"/>
    <w:link w:val="Ttulo2"/>
    <w:uiPriority w:val="9"/>
    <w:rsid w:val="00E10DEB"/>
    <w:rPr>
      <w:rFonts w:ascii="Myriad Pro Light" w:eastAsiaTheme="majorEastAsia" w:hAnsi="Myriad Pro Light" w:cstheme="majorBidi"/>
      <w:b/>
      <w:color w:val="2E3B5D"/>
      <w:sz w:val="32"/>
      <w:szCs w:val="26"/>
    </w:rPr>
  </w:style>
  <w:style w:type="paragraph" w:styleId="Ttulo">
    <w:name w:val="Title"/>
    <w:aliases w:val="Sub Título dentro en informe Humphreys"/>
    <w:basedOn w:val="Normal"/>
    <w:next w:val="Normal"/>
    <w:link w:val="TtuloCar"/>
    <w:uiPriority w:val="10"/>
    <w:qFormat/>
    <w:rsid w:val="00E10DEB"/>
    <w:pPr>
      <w:spacing w:line="360" w:lineRule="auto"/>
      <w:contextualSpacing/>
    </w:pPr>
    <w:rPr>
      <w:rFonts w:ascii="Myriad Pro Light" w:eastAsiaTheme="majorEastAsia" w:hAnsi="Myriad Pro Light" w:cstheme="majorBidi"/>
      <w:b/>
      <w:spacing w:val="-10"/>
      <w:kern w:val="28"/>
      <w:sz w:val="28"/>
      <w:szCs w:val="56"/>
    </w:rPr>
  </w:style>
  <w:style w:type="character" w:customStyle="1" w:styleId="TtuloCar">
    <w:name w:val="Título Car"/>
    <w:aliases w:val="Sub Título dentro en informe Humphreys Car"/>
    <w:basedOn w:val="Fuentedeprrafopredeter"/>
    <w:link w:val="Ttulo"/>
    <w:uiPriority w:val="10"/>
    <w:rsid w:val="00E10DEB"/>
    <w:rPr>
      <w:rFonts w:ascii="Myriad Pro Light" w:eastAsiaTheme="majorEastAsia" w:hAnsi="Myriad Pro Light" w:cstheme="majorBidi"/>
      <w:b/>
      <w:color w:val="2E3B5D"/>
      <w:spacing w:val="-10"/>
      <w:kern w:val="28"/>
      <w:sz w:val="28"/>
      <w:szCs w:val="56"/>
    </w:rPr>
  </w:style>
  <w:style w:type="character" w:customStyle="1" w:styleId="Ttulo3Car">
    <w:name w:val="Título 3 Car"/>
    <w:aliases w:val="Pie de página Humphreys Car"/>
    <w:basedOn w:val="Fuentedeprrafopredeter"/>
    <w:link w:val="Ttulo3"/>
    <w:uiPriority w:val="9"/>
    <w:semiHidden/>
    <w:rsid w:val="00CA17FC"/>
    <w:rPr>
      <w:rFonts w:ascii="Myriad Pro" w:eastAsiaTheme="majorEastAsia" w:hAnsi="Myriad Pro" w:cstheme="majorBidi"/>
      <w:color w:val="FFFFFF" w:themeColor="background1"/>
      <w:sz w:val="20"/>
    </w:rPr>
  </w:style>
  <w:style w:type="paragraph" w:styleId="Encabezado">
    <w:name w:val="header"/>
    <w:aliases w:val="Titulos cuadros"/>
    <w:basedOn w:val="Normal"/>
    <w:link w:val="EncabezadoCar"/>
    <w:unhideWhenUsed/>
    <w:qFormat/>
    <w:rsid w:val="0089028D"/>
    <w:pPr>
      <w:tabs>
        <w:tab w:val="center" w:pos="4419"/>
        <w:tab w:val="right" w:pos="8838"/>
      </w:tabs>
      <w:jc w:val="center"/>
    </w:pPr>
    <w:rPr>
      <w:sz w:val="18"/>
    </w:rPr>
  </w:style>
  <w:style w:type="character" w:customStyle="1" w:styleId="EncabezadoCar">
    <w:name w:val="Encabezado Car"/>
    <w:aliases w:val="Titulos cuadros Car"/>
    <w:basedOn w:val="Fuentedeprrafopredeter"/>
    <w:link w:val="Encabezado"/>
    <w:rsid w:val="0089028D"/>
    <w:rPr>
      <w:rFonts w:ascii="Myriad Pro" w:hAnsi="Myriad Pro"/>
      <w:color w:val="2E3B5D"/>
      <w:sz w:val="18"/>
    </w:rPr>
  </w:style>
  <w:style w:type="paragraph" w:styleId="Piedepgina">
    <w:name w:val="footer"/>
    <w:basedOn w:val="Normal"/>
    <w:link w:val="PiedepginaCar"/>
    <w:uiPriority w:val="99"/>
    <w:unhideWhenUsed/>
    <w:rsid w:val="00E941B7"/>
    <w:pPr>
      <w:tabs>
        <w:tab w:val="center" w:pos="4419"/>
        <w:tab w:val="right" w:pos="8838"/>
      </w:tabs>
    </w:pPr>
  </w:style>
  <w:style w:type="character" w:customStyle="1" w:styleId="PiedepginaCar">
    <w:name w:val="Pie de página Car"/>
    <w:basedOn w:val="Fuentedeprrafopredeter"/>
    <w:link w:val="Piedepgina"/>
    <w:uiPriority w:val="99"/>
    <w:rsid w:val="00E941B7"/>
    <w:rPr>
      <w:rFonts w:ascii="Myriad Pro" w:hAnsi="Myriad Pro"/>
      <w:color w:val="2E3B5D"/>
    </w:rPr>
  </w:style>
  <w:style w:type="character" w:styleId="Hipervnculo">
    <w:name w:val="Hyperlink"/>
    <w:basedOn w:val="Fuentedeprrafopredeter"/>
    <w:uiPriority w:val="99"/>
    <w:unhideWhenUsed/>
    <w:rsid w:val="00AC0DB7"/>
    <w:rPr>
      <w:color w:val="0563C1" w:themeColor="hyperlink"/>
      <w:u w:val="single"/>
    </w:rPr>
  </w:style>
  <w:style w:type="character" w:styleId="Mencinsinresolver">
    <w:name w:val="Unresolved Mention"/>
    <w:basedOn w:val="Fuentedeprrafopredeter"/>
    <w:uiPriority w:val="99"/>
    <w:semiHidden/>
    <w:unhideWhenUsed/>
    <w:rsid w:val="00AC0DB7"/>
    <w:rPr>
      <w:color w:val="605E5C"/>
      <w:shd w:val="clear" w:color="auto" w:fill="E1DFDD"/>
    </w:rPr>
  </w:style>
  <w:style w:type="paragraph" w:styleId="Textonotapie">
    <w:name w:val="footnote text"/>
    <w:basedOn w:val="Normal"/>
    <w:link w:val="TextonotapieCar"/>
    <w:rsid w:val="00E10DEB"/>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E10DEB"/>
    <w:rPr>
      <w:rFonts w:ascii="Times New Roman" w:eastAsia="Times New Roman" w:hAnsi="Times New Roman" w:cs="Times New Roman"/>
      <w:color w:val="2E3B5D"/>
      <w:sz w:val="20"/>
      <w:szCs w:val="20"/>
      <w:lang w:val="es-ES" w:eastAsia="es-ES"/>
    </w:rPr>
  </w:style>
  <w:style w:type="character" w:styleId="Refdenotaalpie">
    <w:name w:val="footnote reference"/>
    <w:qFormat/>
    <w:rsid w:val="00F305AA"/>
    <w:rPr>
      <w:vertAlign w:val="superscript"/>
    </w:rPr>
  </w:style>
  <w:style w:type="table" w:styleId="Tablaconcuadrcula">
    <w:name w:val="Table Grid"/>
    <w:basedOn w:val="Tablanormal"/>
    <w:uiPriority w:val="39"/>
    <w:rsid w:val="005D3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B0415"/>
    <w:pPr>
      <w:ind w:left="720"/>
      <w:contextualSpacing/>
    </w:pPr>
  </w:style>
  <w:style w:type="paragraph" w:styleId="Sangra3detindependiente">
    <w:name w:val="Body Text Indent 3"/>
    <w:basedOn w:val="Normal"/>
    <w:link w:val="Sangra3detindependienteCar"/>
    <w:rsid w:val="00667AA6"/>
    <w:pPr>
      <w:spacing w:after="120"/>
      <w:ind w:left="283"/>
    </w:pPr>
    <w:rPr>
      <w:rFonts w:ascii="Times New Roman" w:eastAsia="Times New Roman" w:hAnsi="Times New Roman" w:cs="Times New Roman"/>
      <w:color w:val="auto"/>
      <w:sz w:val="16"/>
      <w:szCs w:val="16"/>
      <w:lang w:val="es-ES" w:eastAsia="es-ES"/>
    </w:rPr>
  </w:style>
  <w:style w:type="character" w:customStyle="1" w:styleId="Sangra3detindependienteCar">
    <w:name w:val="Sangría 3 de t. independiente Car"/>
    <w:basedOn w:val="Fuentedeprrafopredeter"/>
    <w:link w:val="Sangra3detindependiente"/>
    <w:rsid w:val="00667AA6"/>
    <w:rPr>
      <w:rFonts w:ascii="Times New Roman" w:eastAsia="Times New Roman" w:hAnsi="Times New Roman" w:cs="Times New Roman"/>
      <w:sz w:val="16"/>
      <w:szCs w:val="16"/>
      <w:lang w:val="es-ES" w:eastAsia="es-ES"/>
    </w:rPr>
  </w:style>
  <w:style w:type="paragraph" w:styleId="Textoindependiente3">
    <w:name w:val="Body Text 3"/>
    <w:basedOn w:val="Normal"/>
    <w:link w:val="Textoindependiente3Car"/>
    <w:uiPriority w:val="99"/>
    <w:unhideWhenUsed/>
    <w:rsid w:val="002C36C9"/>
    <w:pPr>
      <w:spacing w:after="120"/>
    </w:pPr>
    <w:rPr>
      <w:sz w:val="16"/>
      <w:szCs w:val="16"/>
    </w:rPr>
  </w:style>
  <w:style w:type="character" w:customStyle="1" w:styleId="Textoindependiente3Car">
    <w:name w:val="Texto independiente 3 Car"/>
    <w:basedOn w:val="Fuentedeprrafopredeter"/>
    <w:link w:val="Textoindependiente3"/>
    <w:uiPriority w:val="99"/>
    <w:rsid w:val="002C36C9"/>
    <w:rPr>
      <w:rFonts w:ascii="Myriad Pro" w:hAnsi="Myriad Pro"/>
      <w:color w:val="2E3B5D"/>
      <w:sz w:val="16"/>
      <w:szCs w:val="16"/>
    </w:rPr>
  </w:style>
  <w:style w:type="paragraph" w:styleId="Textoindependiente">
    <w:name w:val="Body Text"/>
    <w:basedOn w:val="Normal"/>
    <w:link w:val="TextoindependienteCar"/>
    <w:uiPriority w:val="99"/>
    <w:semiHidden/>
    <w:unhideWhenUsed/>
    <w:rsid w:val="00BE6C3B"/>
    <w:pPr>
      <w:spacing w:after="120"/>
    </w:pPr>
  </w:style>
  <w:style w:type="character" w:customStyle="1" w:styleId="TextoindependienteCar">
    <w:name w:val="Texto independiente Car"/>
    <w:basedOn w:val="Fuentedeprrafopredeter"/>
    <w:link w:val="Textoindependiente"/>
    <w:uiPriority w:val="99"/>
    <w:semiHidden/>
    <w:rsid w:val="00BE6C3B"/>
    <w:rPr>
      <w:rFonts w:ascii="Myriad Pro" w:hAnsi="Myriad Pro"/>
      <w:color w:val="2E3B5D"/>
      <w:sz w:val="21"/>
    </w:rPr>
  </w:style>
  <w:style w:type="character" w:styleId="Refdecomentario">
    <w:name w:val="annotation reference"/>
    <w:basedOn w:val="Fuentedeprrafopredeter"/>
    <w:uiPriority w:val="99"/>
    <w:semiHidden/>
    <w:unhideWhenUsed/>
    <w:rsid w:val="00176489"/>
    <w:rPr>
      <w:sz w:val="16"/>
      <w:szCs w:val="16"/>
    </w:rPr>
  </w:style>
  <w:style w:type="paragraph" w:styleId="Textocomentario">
    <w:name w:val="annotation text"/>
    <w:basedOn w:val="Normal"/>
    <w:link w:val="TextocomentarioCar"/>
    <w:uiPriority w:val="99"/>
    <w:semiHidden/>
    <w:unhideWhenUsed/>
    <w:rsid w:val="00176489"/>
    <w:rPr>
      <w:sz w:val="20"/>
      <w:szCs w:val="20"/>
    </w:rPr>
  </w:style>
  <w:style w:type="character" w:customStyle="1" w:styleId="TextocomentarioCar">
    <w:name w:val="Texto comentario Car"/>
    <w:basedOn w:val="Fuentedeprrafopredeter"/>
    <w:link w:val="Textocomentario"/>
    <w:uiPriority w:val="99"/>
    <w:semiHidden/>
    <w:rsid w:val="00176489"/>
    <w:rPr>
      <w:rFonts w:ascii="Myriad Pro" w:hAnsi="Myriad Pro"/>
      <w:color w:val="2E3B5D"/>
      <w:sz w:val="20"/>
      <w:szCs w:val="20"/>
    </w:rPr>
  </w:style>
  <w:style w:type="paragraph" w:styleId="Asuntodelcomentario">
    <w:name w:val="annotation subject"/>
    <w:basedOn w:val="Textocomentario"/>
    <w:next w:val="Textocomentario"/>
    <w:link w:val="AsuntodelcomentarioCar"/>
    <w:uiPriority w:val="99"/>
    <w:semiHidden/>
    <w:unhideWhenUsed/>
    <w:rsid w:val="00176489"/>
    <w:rPr>
      <w:b/>
      <w:bCs/>
    </w:rPr>
  </w:style>
  <w:style w:type="character" w:customStyle="1" w:styleId="AsuntodelcomentarioCar">
    <w:name w:val="Asunto del comentario Car"/>
    <w:basedOn w:val="TextocomentarioCar"/>
    <w:link w:val="Asuntodelcomentario"/>
    <w:uiPriority w:val="99"/>
    <w:semiHidden/>
    <w:rsid w:val="00176489"/>
    <w:rPr>
      <w:rFonts w:ascii="Myriad Pro" w:hAnsi="Myriad Pro"/>
      <w:b/>
      <w:bCs/>
      <w:color w:val="2E3B5D"/>
      <w:sz w:val="20"/>
      <w:szCs w:val="20"/>
    </w:rPr>
  </w:style>
  <w:style w:type="paragraph" w:styleId="Sinespaciado">
    <w:name w:val="No Spacing"/>
    <w:uiPriority w:val="1"/>
    <w:qFormat/>
    <w:rsid w:val="009D4686"/>
    <w:rPr>
      <w:rFonts w:ascii="Myriad Pro" w:hAnsi="Myriad Pro"/>
      <w:color w:val="2E3B5D"/>
      <w:sz w:val="21"/>
    </w:rPr>
  </w:style>
  <w:style w:type="paragraph" w:customStyle="1" w:styleId="texto1pagina">
    <w:name w:val="texto 1º pagina"/>
    <w:basedOn w:val="Textoindependiente"/>
    <w:autoRedefine/>
    <w:qFormat/>
    <w:rsid w:val="00324474"/>
    <w:pPr>
      <w:jc w:val="both"/>
    </w:pPr>
    <w:rPr>
      <w:rFonts w:eastAsia="Times New Roman" w:cs="Times New Roman"/>
      <w:color w:val="404040" w:themeColor="text1" w:themeTint="BF"/>
      <w:lang w:eastAsia="es-ES_tradnl"/>
    </w:rPr>
  </w:style>
  <w:style w:type="paragraph" w:styleId="Revisin">
    <w:name w:val="Revision"/>
    <w:hidden/>
    <w:uiPriority w:val="99"/>
    <w:semiHidden/>
    <w:rsid w:val="00D83BC6"/>
    <w:rPr>
      <w:rFonts w:ascii="Myriad Pro" w:hAnsi="Myriad Pro"/>
      <w:color w:val="2E3B5D"/>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72017">
      <w:bodyDiv w:val="1"/>
      <w:marLeft w:val="0"/>
      <w:marRight w:val="0"/>
      <w:marTop w:val="0"/>
      <w:marBottom w:val="0"/>
      <w:divBdr>
        <w:top w:val="none" w:sz="0" w:space="0" w:color="auto"/>
        <w:left w:val="none" w:sz="0" w:space="0" w:color="auto"/>
        <w:bottom w:val="none" w:sz="0" w:space="0" w:color="auto"/>
        <w:right w:val="none" w:sz="0" w:space="0" w:color="auto"/>
      </w:divBdr>
    </w:div>
    <w:div w:id="39209229">
      <w:bodyDiv w:val="1"/>
      <w:marLeft w:val="0"/>
      <w:marRight w:val="0"/>
      <w:marTop w:val="0"/>
      <w:marBottom w:val="0"/>
      <w:divBdr>
        <w:top w:val="none" w:sz="0" w:space="0" w:color="auto"/>
        <w:left w:val="none" w:sz="0" w:space="0" w:color="auto"/>
        <w:bottom w:val="none" w:sz="0" w:space="0" w:color="auto"/>
        <w:right w:val="none" w:sz="0" w:space="0" w:color="auto"/>
      </w:divBdr>
    </w:div>
    <w:div w:id="67651311">
      <w:bodyDiv w:val="1"/>
      <w:marLeft w:val="0"/>
      <w:marRight w:val="0"/>
      <w:marTop w:val="0"/>
      <w:marBottom w:val="0"/>
      <w:divBdr>
        <w:top w:val="none" w:sz="0" w:space="0" w:color="auto"/>
        <w:left w:val="none" w:sz="0" w:space="0" w:color="auto"/>
        <w:bottom w:val="none" w:sz="0" w:space="0" w:color="auto"/>
        <w:right w:val="none" w:sz="0" w:space="0" w:color="auto"/>
      </w:divBdr>
    </w:div>
    <w:div w:id="83186451">
      <w:bodyDiv w:val="1"/>
      <w:marLeft w:val="0"/>
      <w:marRight w:val="0"/>
      <w:marTop w:val="0"/>
      <w:marBottom w:val="0"/>
      <w:divBdr>
        <w:top w:val="none" w:sz="0" w:space="0" w:color="auto"/>
        <w:left w:val="none" w:sz="0" w:space="0" w:color="auto"/>
        <w:bottom w:val="none" w:sz="0" w:space="0" w:color="auto"/>
        <w:right w:val="none" w:sz="0" w:space="0" w:color="auto"/>
      </w:divBdr>
    </w:div>
    <w:div w:id="152377089">
      <w:bodyDiv w:val="1"/>
      <w:marLeft w:val="0"/>
      <w:marRight w:val="0"/>
      <w:marTop w:val="0"/>
      <w:marBottom w:val="0"/>
      <w:divBdr>
        <w:top w:val="none" w:sz="0" w:space="0" w:color="auto"/>
        <w:left w:val="none" w:sz="0" w:space="0" w:color="auto"/>
        <w:bottom w:val="none" w:sz="0" w:space="0" w:color="auto"/>
        <w:right w:val="none" w:sz="0" w:space="0" w:color="auto"/>
      </w:divBdr>
    </w:div>
    <w:div w:id="184487529">
      <w:bodyDiv w:val="1"/>
      <w:marLeft w:val="0"/>
      <w:marRight w:val="0"/>
      <w:marTop w:val="0"/>
      <w:marBottom w:val="0"/>
      <w:divBdr>
        <w:top w:val="none" w:sz="0" w:space="0" w:color="auto"/>
        <w:left w:val="none" w:sz="0" w:space="0" w:color="auto"/>
        <w:bottom w:val="none" w:sz="0" w:space="0" w:color="auto"/>
        <w:right w:val="none" w:sz="0" w:space="0" w:color="auto"/>
      </w:divBdr>
    </w:div>
    <w:div w:id="206644566">
      <w:bodyDiv w:val="1"/>
      <w:marLeft w:val="0"/>
      <w:marRight w:val="0"/>
      <w:marTop w:val="0"/>
      <w:marBottom w:val="0"/>
      <w:divBdr>
        <w:top w:val="none" w:sz="0" w:space="0" w:color="auto"/>
        <w:left w:val="none" w:sz="0" w:space="0" w:color="auto"/>
        <w:bottom w:val="none" w:sz="0" w:space="0" w:color="auto"/>
        <w:right w:val="none" w:sz="0" w:space="0" w:color="auto"/>
      </w:divBdr>
    </w:div>
    <w:div w:id="283659396">
      <w:bodyDiv w:val="1"/>
      <w:marLeft w:val="0"/>
      <w:marRight w:val="0"/>
      <w:marTop w:val="0"/>
      <w:marBottom w:val="0"/>
      <w:divBdr>
        <w:top w:val="none" w:sz="0" w:space="0" w:color="auto"/>
        <w:left w:val="none" w:sz="0" w:space="0" w:color="auto"/>
        <w:bottom w:val="none" w:sz="0" w:space="0" w:color="auto"/>
        <w:right w:val="none" w:sz="0" w:space="0" w:color="auto"/>
      </w:divBdr>
    </w:div>
    <w:div w:id="294798511">
      <w:bodyDiv w:val="1"/>
      <w:marLeft w:val="0"/>
      <w:marRight w:val="0"/>
      <w:marTop w:val="0"/>
      <w:marBottom w:val="0"/>
      <w:divBdr>
        <w:top w:val="none" w:sz="0" w:space="0" w:color="auto"/>
        <w:left w:val="none" w:sz="0" w:space="0" w:color="auto"/>
        <w:bottom w:val="none" w:sz="0" w:space="0" w:color="auto"/>
        <w:right w:val="none" w:sz="0" w:space="0" w:color="auto"/>
      </w:divBdr>
    </w:div>
    <w:div w:id="314921522">
      <w:bodyDiv w:val="1"/>
      <w:marLeft w:val="0"/>
      <w:marRight w:val="0"/>
      <w:marTop w:val="0"/>
      <w:marBottom w:val="0"/>
      <w:divBdr>
        <w:top w:val="none" w:sz="0" w:space="0" w:color="auto"/>
        <w:left w:val="none" w:sz="0" w:space="0" w:color="auto"/>
        <w:bottom w:val="none" w:sz="0" w:space="0" w:color="auto"/>
        <w:right w:val="none" w:sz="0" w:space="0" w:color="auto"/>
      </w:divBdr>
    </w:div>
    <w:div w:id="341513915">
      <w:bodyDiv w:val="1"/>
      <w:marLeft w:val="0"/>
      <w:marRight w:val="0"/>
      <w:marTop w:val="0"/>
      <w:marBottom w:val="0"/>
      <w:divBdr>
        <w:top w:val="none" w:sz="0" w:space="0" w:color="auto"/>
        <w:left w:val="none" w:sz="0" w:space="0" w:color="auto"/>
        <w:bottom w:val="none" w:sz="0" w:space="0" w:color="auto"/>
        <w:right w:val="none" w:sz="0" w:space="0" w:color="auto"/>
      </w:divBdr>
    </w:div>
    <w:div w:id="367724614">
      <w:bodyDiv w:val="1"/>
      <w:marLeft w:val="0"/>
      <w:marRight w:val="0"/>
      <w:marTop w:val="0"/>
      <w:marBottom w:val="0"/>
      <w:divBdr>
        <w:top w:val="none" w:sz="0" w:space="0" w:color="auto"/>
        <w:left w:val="none" w:sz="0" w:space="0" w:color="auto"/>
        <w:bottom w:val="none" w:sz="0" w:space="0" w:color="auto"/>
        <w:right w:val="none" w:sz="0" w:space="0" w:color="auto"/>
      </w:divBdr>
    </w:div>
    <w:div w:id="370765303">
      <w:bodyDiv w:val="1"/>
      <w:marLeft w:val="0"/>
      <w:marRight w:val="0"/>
      <w:marTop w:val="0"/>
      <w:marBottom w:val="0"/>
      <w:divBdr>
        <w:top w:val="none" w:sz="0" w:space="0" w:color="auto"/>
        <w:left w:val="none" w:sz="0" w:space="0" w:color="auto"/>
        <w:bottom w:val="none" w:sz="0" w:space="0" w:color="auto"/>
        <w:right w:val="none" w:sz="0" w:space="0" w:color="auto"/>
      </w:divBdr>
    </w:div>
    <w:div w:id="403720106">
      <w:bodyDiv w:val="1"/>
      <w:marLeft w:val="0"/>
      <w:marRight w:val="0"/>
      <w:marTop w:val="0"/>
      <w:marBottom w:val="0"/>
      <w:divBdr>
        <w:top w:val="none" w:sz="0" w:space="0" w:color="auto"/>
        <w:left w:val="none" w:sz="0" w:space="0" w:color="auto"/>
        <w:bottom w:val="none" w:sz="0" w:space="0" w:color="auto"/>
        <w:right w:val="none" w:sz="0" w:space="0" w:color="auto"/>
      </w:divBdr>
    </w:div>
    <w:div w:id="426652810">
      <w:bodyDiv w:val="1"/>
      <w:marLeft w:val="0"/>
      <w:marRight w:val="0"/>
      <w:marTop w:val="0"/>
      <w:marBottom w:val="0"/>
      <w:divBdr>
        <w:top w:val="none" w:sz="0" w:space="0" w:color="auto"/>
        <w:left w:val="none" w:sz="0" w:space="0" w:color="auto"/>
        <w:bottom w:val="none" w:sz="0" w:space="0" w:color="auto"/>
        <w:right w:val="none" w:sz="0" w:space="0" w:color="auto"/>
      </w:divBdr>
    </w:div>
    <w:div w:id="438065239">
      <w:bodyDiv w:val="1"/>
      <w:marLeft w:val="0"/>
      <w:marRight w:val="0"/>
      <w:marTop w:val="0"/>
      <w:marBottom w:val="0"/>
      <w:divBdr>
        <w:top w:val="none" w:sz="0" w:space="0" w:color="auto"/>
        <w:left w:val="none" w:sz="0" w:space="0" w:color="auto"/>
        <w:bottom w:val="none" w:sz="0" w:space="0" w:color="auto"/>
        <w:right w:val="none" w:sz="0" w:space="0" w:color="auto"/>
      </w:divBdr>
    </w:div>
    <w:div w:id="464009363">
      <w:bodyDiv w:val="1"/>
      <w:marLeft w:val="0"/>
      <w:marRight w:val="0"/>
      <w:marTop w:val="0"/>
      <w:marBottom w:val="0"/>
      <w:divBdr>
        <w:top w:val="none" w:sz="0" w:space="0" w:color="auto"/>
        <w:left w:val="none" w:sz="0" w:space="0" w:color="auto"/>
        <w:bottom w:val="none" w:sz="0" w:space="0" w:color="auto"/>
        <w:right w:val="none" w:sz="0" w:space="0" w:color="auto"/>
      </w:divBdr>
    </w:div>
    <w:div w:id="493299000">
      <w:bodyDiv w:val="1"/>
      <w:marLeft w:val="0"/>
      <w:marRight w:val="0"/>
      <w:marTop w:val="0"/>
      <w:marBottom w:val="0"/>
      <w:divBdr>
        <w:top w:val="none" w:sz="0" w:space="0" w:color="auto"/>
        <w:left w:val="none" w:sz="0" w:space="0" w:color="auto"/>
        <w:bottom w:val="none" w:sz="0" w:space="0" w:color="auto"/>
        <w:right w:val="none" w:sz="0" w:space="0" w:color="auto"/>
      </w:divBdr>
    </w:div>
    <w:div w:id="523246144">
      <w:bodyDiv w:val="1"/>
      <w:marLeft w:val="0"/>
      <w:marRight w:val="0"/>
      <w:marTop w:val="0"/>
      <w:marBottom w:val="0"/>
      <w:divBdr>
        <w:top w:val="none" w:sz="0" w:space="0" w:color="auto"/>
        <w:left w:val="none" w:sz="0" w:space="0" w:color="auto"/>
        <w:bottom w:val="none" w:sz="0" w:space="0" w:color="auto"/>
        <w:right w:val="none" w:sz="0" w:space="0" w:color="auto"/>
      </w:divBdr>
    </w:div>
    <w:div w:id="530340282">
      <w:bodyDiv w:val="1"/>
      <w:marLeft w:val="0"/>
      <w:marRight w:val="0"/>
      <w:marTop w:val="0"/>
      <w:marBottom w:val="0"/>
      <w:divBdr>
        <w:top w:val="none" w:sz="0" w:space="0" w:color="auto"/>
        <w:left w:val="none" w:sz="0" w:space="0" w:color="auto"/>
        <w:bottom w:val="none" w:sz="0" w:space="0" w:color="auto"/>
        <w:right w:val="none" w:sz="0" w:space="0" w:color="auto"/>
      </w:divBdr>
    </w:div>
    <w:div w:id="547881571">
      <w:bodyDiv w:val="1"/>
      <w:marLeft w:val="0"/>
      <w:marRight w:val="0"/>
      <w:marTop w:val="0"/>
      <w:marBottom w:val="0"/>
      <w:divBdr>
        <w:top w:val="none" w:sz="0" w:space="0" w:color="auto"/>
        <w:left w:val="none" w:sz="0" w:space="0" w:color="auto"/>
        <w:bottom w:val="none" w:sz="0" w:space="0" w:color="auto"/>
        <w:right w:val="none" w:sz="0" w:space="0" w:color="auto"/>
      </w:divBdr>
    </w:div>
    <w:div w:id="669916117">
      <w:bodyDiv w:val="1"/>
      <w:marLeft w:val="0"/>
      <w:marRight w:val="0"/>
      <w:marTop w:val="0"/>
      <w:marBottom w:val="0"/>
      <w:divBdr>
        <w:top w:val="none" w:sz="0" w:space="0" w:color="auto"/>
        <w:left w:val="none" w:sz="0" w:space="0" w:color="auto"/>
        <w:bottom w:val="none" w:sz="0" w:space="0" w:color="auto"/>
        <w:right w:val="none" w:sz="0" w:space="0" w:color="auto"/>
      </w:divBdr>
    </w:div>
    <w:div w:id="688994404">
      <w:bodyDiv w:val="1"/>
      <w:marLeft w:val="0"/>
      <w:marRight w:val="0"/>
      <w:marTop w:val="0"/>
      <w:marBottom w:val="0"/>
      <w:divBdr>
        <w:top w:val="none" w:sz="0" w:space="0" w:color="auto"/>
        <w:left w:val="none" w:sz="0" w:space="0" w:color="auto"/>
        <w:bottom w:val="none" w:sz="0" w:space="0" w:color="auto"/>
        <w:right w:val="none" w:sz="0" w:space="0" w:color="auto"/>
      </w:divBdr>
    </w:div>
    <w:div w:id="712729333">
      <w:bodyDiv w:val="1"/>
      <w:marLeft w:val="0"/>
      <w:marRight w:val="0"/>
      <w:marTop w:val="0"/>
      <w:marBottom w:val="0"/>
      <w:divBdr>
        <w:top w:val="none" w:sz="0" w:space="0" w:color="auto"/>
        <w:left w:val="none" w:sz="0" w:space="0" w:color="auto"/>
        <w:bottom w:val="none" w:sz="0" w:space="0" w:color="auto"/>
        <w:right w:val="none" w:sz="0" w:space="0" w:color="auto"/>
      </w:divBdr>
    </w:div>
    <w:div w:id="713581174">
      <w:bodyDiv w:val="1"/>
      <w:marLeft w:val="0"/>
      <w:marRight w:val="0"/>
      <w:marTop w:val="0"/>
      <w:marBottom w:val="0"/>
      <w:divBdr>
        <w:top w:val="none" w:sz="0" w:space="0" w:color="auto"/>
        <w:left w:val="none" w:sz="0" w:space="0" w:color="auto"/>
        <w:bottom w:val="none" w:sz="0" w:space="0" w:color="auto"/>
        <w:right w:val="none" w:sz="0" w:space="0" w:color="auto"/>
      </w:divBdr>
    </w:div>
    <w:div w:id="715470374">
      <w:bodyDiv w:val="1"/>
      <w:marLeft w:val="0"/>
      <w:marRight w:val="0"/>
      <w:marTop w:val="0"/>
      <w:marBottom w:val="0"/>
      <w:divBdr>
        <w:top w:val="none" w:sz="0" w:space="0" w:color="auto"/>
        <w:left w:val="none" w:sz="0" w:space="0" w:color="auto"/>
        <w:bottom w:val="none" w:sz="0" w:space="0" w:color="auto"/>
        <w:right w:val="none" w:sz="0" w:space="0" w:color="auto"/>
      </w:divBdr>
    </w:div>
    <w:div w:id="782572930">
      <w:bodyDiv w:val="1"/>
      <w:marLeft w:val="0"/>
      <w:marRight w:val="0"/>
      <w:marTop w:val="0"/>
      <w:marBottom w:val="0"/>
      <w:divBdr>
        <w:top w:val="none" w:sz="0" w:space="0" w:color="auto"/>
        <w:left w:val="none" w:sz="0" w:space="0" w:color="auto"/>
        <w:bottom w:val="none" w:sz="0" w:space="0" w:color="auto"/>
        <w:right w:val="none" w:sz="0" w:space="0" w:color="auto"/>
      </w:divBdr>
    </w:div>
    <w:div w:id="794983043">
      <w:bodyDiv w:val="1"/>
      <w:marLeft w:val="0"/>
      <w:marRight w:val="0"/>
      <w:marTop w:val="0"/>
      <w:marBottom w:val="0"/>
      <w:divBdr>
        <w:top w:val="none" w:sz="0" w:space="0" w:color="auto"/>
        <w:left w:val="none" w:sz="0" w:space="0" w:color="auto"/>
        <w:bottom w:val="none" w:sz="0" w:space="0" w:color="auto"/>
        <w:right w:val="none" w:sz="0" w:space="0" w:color="auto"/>
      </w:divBdr>
    </w:div>
    <w:div w:id="848719842">
      <w:bodyDiv w:val="1"/>
      <w:marLeft w:val="0"/>
      <w:marRight w:val="0"/>
      <w:marTop w:val="0"/>
      <w:marBottom w:val="0"/>
      <w:divBdr>
        <w:top w:val="none" w:sz="0" w:space="0" w:color="auto"/>
        <w:left w:val="none" w:sz="0" w:space="0" w:color="auto"/>
        <w:bottom w:val="none" w:sz="0" w:space="0" w:color="auto"/>
        <w:right w:val="none" w:sz="0" w:space="0" w:color="auto"/>
      </w:divBdr>
    </w:div>
    <w:div w:id="855272138">
      <w:bodyDiv w:val="1"/>
      <w:marLeft w:val="0"/>
      <w:marRight w:val="0"/>
      <w:marTop w:val="0"/>
      <w:marBottom w:val="0"/>
      <w:divBdr>
        <w:top w:val="none" w:sz="0" w:space="0" w:color="auto"/>
        <w:left w:val="none" w:sz="0" w:space="0" w:color="auto"/>
        <w:bottom w:val="none" w:sz="0" w:space="0" w:color="auto"/>
        <w:right w:val="none" w:sz="0" w:space="0" w:color="auto"/>
      </w:divBdr>
    </w:div>
    <w:div w:id="874464308">
      <w:bodyDiv w:val="1"/>
      <w:marLeft w:val="0"/>
      <w:marRight w:val="0"/>
      <w:marTop w:val="0"/>
      <w:marBottom w:val="0"/>
      <w:divBdr>
        <w:top w:val="none" w:sz="0" w:space="0" w:color="auto"/>
        <w:left w:val="none" w:sz="0" w:space="0" w:color="auto"/>
        <w:bottom w:val="none" w:sz="0" w:space="0" w:color="auto"/>
        <w:right w:val="none" w:sz="0" w:space="0" w:color="auto"/>
      </w:divBdr>
    </w:div>
    <w:div w:id="883323213">
      <w:bodyDiv w:val="1"/>
      <w:marLeft w:val="0"/>
      <w:marRight w:val="0"/>
      <w:marTop w:val="0"/>
      <w:marBottom w:val="0"/>
      <w:divBdr>
        <w:top w:val="none" w:sz="0" w:space="0" w:color="auto"/>
        <w:left w:val="none" w:sz="0" w:space="0" w:color="auto"/>
        <w:bottom w:val="none" w:sz="0" w:space="0" w:color="auto"/>
        <w:right w:val="none" w:sz="0" w:space="0" w:color="auto"/>
      </w:divBdr>
    </w:div>
    <w:div w:id="897009321">
      <w:bodyDiv w:val="1"/>
      <w:marLeft w:val="0"/>
      <w:marRight w:val="0"/>
      <w:marTop w:val="0"/>
      <w:marBottom w:val="0"/>
      <w:divBdr>
        <w:top w:val="none" w:sz="0" w:space="0" w:color="auto"/>
        <w:left w:val="none" w:sz="0" w:space="0" w:color="auto"/>
        <w:bottom w:val="none" w:sz="0" w:space="0" w:color="auto"/>
        <w:right w:val="none" w:sz="0" w:space="0" w:color="auto"/>
      </w:divBdr>
    </w:div>
    <w:div w:id="934047675">
      <w:bodyDiv w:val="1"/>
      <w:marLeft w:val="0"/>
      <w:marRight w:val="0"/>
      <w:marTop w:val="0"/>
      <w:marBottom w:val="0"/>
      <w:divBdr>
        <w:top w:val="none" w:sz="0" w:space="0" w:color="auto"/>
        <w:left w:val="none" w:sz="0" w:space="0" w:color="auto"/>
        <w:bottom w:val="none" w:sz="0" w:space="0" w:color="auto"/>
        <w:right w:val="none" w:sz="0" w:space="0" w:color="auto"/>
      </w:divBdr>
    </w:div>
    <w:div w:id="945235986">
      <w:bodyDiv w:val="1"/>
      <w:marLeft w:val="0"/>
      <w:marRight w:val="0"/>
      <w:marTop w:val="0"/>
      <w:marBottom w:val="0"/>
      <w:divBdr>
        <w:top w:val="none" w:sz="0" w:space="0" w:color="auto"/>
        <w:left w:val="none" w:sz="0" w:space="0" w:color="auto"/>
        <w:bottom w:val="none" w:sz="0" w:space="0" w:color="auto"/>
        <w:right w:val="none" w:sz="0" w:space="0" w:color="auto"/>
      </w:divBdr>
    </w:div>
    <w:div w:id="961691007">
      <w:bodyDiv w:val="1"/>
      <w:marLeft w:val="0"/>
      <w:marRight w:val="0"/>
      <w:marTop w:val="0"/>
      <w:marBottom w:val="0"/>
      <w:divBdr>
        <w:top w:val="none" w:sz="0" w:space="0" w:color="auto"/>
        <w:left w:val="none" w:sz="0" w:space="0" w:color="auto"/>
        <w:bottom w:val="none" w:sz="0" w:space="0" w:color="auto"/>
        <w:right w:val="none" w:sz="0" w:space="0" w:color="auto"/>
      </w:divBdr>
    </w:div>
    <w:div w:id="1008824165">
      <w:bodyDiv w:val="1"/>
      <w:marLeft w:val="0"/>
      <w:marRight w:val="0"/>
      <w:marTop w:val="0"/>
      <w:marBottom w:val="0"/>
      <w:divBdr>
        <w:top w:val="none" w:sz="0" w:space="0" w:color="auto"/>
        <w:left w:val="none" w:sz="0" w:space="0" w:color="auto"/>
        <w:bottom w:val="none" w:sz="0" w:space="0" w:color="auto"/>
        <w:right w:val="none" w:sz="0" w:space="0" w:color="auto"/>
      </w:divBdr>
    </w:div>
    <w:div w:id="1028795548">
      <w:bodyDiv w:val="1"/>
      <w:marLeft w:val="0"/>
      <w:marRight w:val="0"/>
      <w:marTop w:val="0"/>
      <w:marBottom w:val="0"/>
      <w:divBdr>
        <w:top w:val="none" w:sz="0" w:space="0" w:color="auto"/>
        <w:left w:val="none" w:sz="0" w:space="0" w:color="auto"/>
        <w:bottom w:val="none" w:sz="0" w:space="0" w:color="auto"/>
        <w:right w:val="none" w:sz="0" w:space="0" w:color="auto"/>
      </w:divBdr>
    </w:div>
    <w:div w:id="1036276089">
      <w:bodyDiv w:val="1"/>
      <w:marLeft w:val="0"/>
      <w:marRight w:val="0"/>
      <w:marTop w:val="0"/>
      <w:marBottom w:val="0"/>
      <w:divBdr>
        <w:top w:val="none" w:sz="0" w:space="0" w:color="auto"/>
        <w:left w:val="none" w:sz="0" w:space="0" w:color="auto"/>
        <w:bottom w:val="none" w:sz="0" w:space="0" w:color="auto"/>
        <w:right w:val="none" w:sz="0" w:space="0" w:color="auto"/>
      </w:divBdr>
    </w:div>
    <w:div w:id="1038120336">
      <w:bodyDiv w:val="1"/>
      <w:marLeft w:val="0"/>
      <w:marRight w:val="0"/>
      <w:marTop w:val="0"/>
      <w:marBottom w:val="0"/>
      <w:divBdr>
        <w:top w:val="none" w:sz="0" w:space="0" w:color="auto"/>
        <w:left w:val="none" w:sz="0" w:space="0" w:color="auto"/>
        <w:bottom w:val="none" w:sz="0" w:space="0" w:color="auto"/>
        <w:right w:val="none" w:sz="0" w:space="0" w:color="auto"/>
      </w:divBdr>
    </w:div>
    <w:div w:id="1059014166">
      <w:bodyDiv w:val="1"/>
      <w:marLeft w:val="0"/>
      <w:marRight w:val="0"/>
      <w:marTop w:val="0"/>
      <w:marBottom w:val="0"/>
      <w:divBdr>
        <w:top w:val="none" w:sz="0" w:space="0" w:color="auto"/>
        <w:left w:val="none" w:sz="0" w:space="0" w:color="auto"/>
        <w:bottom w:val="none" w:sz="0" w:space="0" w:color="auto"/>
        <w:right w:val="none" w:sz="0" w:space="0" w:color="auto"/>
      </w:divBdr>
    </w:div>
    <w:div w:id="1060641528">
      <w:bodyDiv w:val="1"/>
      <w:marLeft w:val="0"/>
      <w:marRight w:val="0"/>
      <w:marTop w:val="0"/>
      <w:marBottom w:val="0"/>
      <w:divBdr>
        <w:top w:val="none" w:sz="0" w:space="0" w:color="auto"/>
        <w:left w:val="none" w:sz="0" w:space="0" w:color="auto"/>
        <w:bottom w:val="none" w:sz="0" w:space="0" w:color="auto"/>
        <w:right w:val="none" w:sz="0" w:space="0" w:color="auto"/>
      </w:divBdr>
    </w:div>
    <w:div w:id="1117218642">
      <w:bodyDiv w:val="1"/>
      <w:marLeft w:val="0"/>
      <w:marRight w:val="0"/>
      <w:marTop w:val="0"/>
      <w:marBottom w:val="0"/>
      <w:divBdr>
        <w:top w:val="none" w:sz="0" w:space="0" w:color="auto"/>
        <w:left w:val="none" w:sz="0" w:space="0" w:color="auto"/>
        <w:bottom w:val="none" w:sz="0" w:space="0" w:color="auto"/>
        <w:right w:val="none" w:sz="0" w:space="0" w:color="auto"/>
      </w:divBdr>
    </w:div>
    <w:div w:id="1149517235">
      <w:bodyDiv w:val="1"/>
      <w:marLeft w:val="0"/>
      <w:marRight w:val="0"/>
      <w:marTop w:val="0"/>
      <w:marBottom w:val="0"/>
      <w:divBdr>
        <w:top w:val="none" w:sz="0" w:space="0" w:color="auto"/>
        <w:left w:val="none" w:sz="0" w:space="0" w:color="auto"/>
        <w:bottom w:val="none" w:sz="0" w:space="0" w:color="auto"/>
        <w:right w:val="none" w:sz="0" w:space="0" w:color="auto"/>
      </w:divBdr>
    </w:div>
    <w:div w:id="1171598772">
      <w:bodyDiv w:val="1"/>
      <w:marLeft w:val="0"/>
      <w:marRight w:val="0"/>
      <w:marTop w:val="0"/>
      <w:marBottom w:val="0"/>
      <w:divBdr>
        <w:top w:val="none" w:sz="0" w:space="0" w:color="auto"/>
        <w:left w:val="none" w:sz="0" w:space="0" w:color="auto"/>
        <w:bottom w:val="none" w:sz="0" w:space="0" w:color="auto"/>
        <w:right w:val="none" w:sz="0" w:space="0" w:color="auto"/>
      </w:divBdr>
    </w:div>
    <w:div w:id="1190100037">
      <w:bodyDiv w:val="1"/>
      <w:marLeft w:val="0"/>
      <w:marRight w:val="0"/>
      <w:marTop w:val="0"/>
      <w:marBottom w:val="0"/>
      <w:divBdr>
        <w:top w:val="none" w:sz="0" w:space="0" w:color="auto"/>
        <w:left w:val="none" w:sz="0" w:space="0" w:color="auto"/>
        <w:bottom w:val="none" w:sz="0" w:space="0" w:color="auto"/>
        <w:right w:val="none" w:sz="0" w:space="0" w:color="auto"/>
      </w:divBdr>
    </w:div>
    <w:div w:id="1212110603">
      <w:bodyDiv w:val="1"/>
      <w:marLeft w:val="0"/>
      <w:marRight w:val="0"/>
      <w:marTop w:val="0"/>
      <w:marBottom w:val="0"/>
      <w:divBdr>
        <w:top w:val="none" w:sz="0" w:space="0" w:color="auto"/>
        <w:left w:val="none" w:sz="0" w:space="0" w:color="auto"/>
        <w:bottom w:val="none" w:sz="0" w:space="0" w:color="auto"/>
        <w:right w:val="none" w:sz="0" w:space="0" w:color="auto"/>
      </w:divBdr>
    </w:div>
    <w:div w:id="1271083645">
      <w:bodyDiv w:val="1"/>
      <w:marLeft w:val="0"/>
      <w:marRight w:val="0"/>
      <w:marTop w:val="0"/>
      <w:marBottom w:val="0"/>
      <w:divBdr>
        <w:top w:val="none" w:sz="0" w:space="0" w:color="auto"/>
        <w:left w:val="none" w:sz="0" w:space="0" w:color="auto"/>
        <w:bottom w:val="none" w:sz="0" w:space="0" w:color="auto"/>
        <w:right w:val="none" w:sz="0" w:space="0" w:color="auto"/>
      </w:divBdr>
    </w:div>
    <w:div w:id="1287076557">
      <w:bodyDiv w:val="1"/>
      <w:marLeft w:val="0"/>
      <w:marRight w:val="0"/>
      <w:marTop w:val="0"/>
      <w:marBottom w:val="0"/>
      <w:divBdr>
        <w:top w:val="none" w:sz="0" w:space="0" w:color="auto"/>
        <w:left w:val="none" w:sz="0" w:space="0" w:color="auto"/>
        <w:bottom w:val="none" w:sz="0" w:space="0" w:color="auto"/>
        <w:right w:val="none" w:sz="0" w:space="0" w:color="auto"/>
      </w:divBdr>
    </w:div>
    <w:div w:id="1308779332">
      <w:bodyDiv w:val="1"/>
      <w:marLeft w:val="0"/>
      <w:marRight w:val="0"/>
      <w:marTop w:val="0"/>
      <w:marBottom w:val="0"/>
      <w:divBdr>
        <w:top w:val="none" w:sz="0" w:space="0" w:color="auto"/>
        <w:left w:val="none" w:sz="0" w:space="0" w:color="auto"/>
        <w:bottom w:val="none" w:sz="0" w:space="0" w:color="auto"/>
        <w:right w:val="none" w:sz="0" w:space="0" w:color="auto"/>
      </w:divBdr>
    </w:div>
    <w:div w:id="1334649551">
      <w:bodyDiv w:val="1"/>
      <w:marLeft w:val="0"/>
      <w:marRight w:val="0"/>
      <w:marTop w:val="0"/>
      <w:marBottom w:val="0"/>
      <w:divBdr>
        <w:top w:val="none" w:sz="0" w:space="0" w:color="auto"/>
        <w:left w:val="none" w:sz="0" w:space="0" w:color="auto"/>
        <w:bottom w:val="none" w:sz="0" w:space="0" w:color="auto"/>
        <w:right w:val="none" w:sz="0" w:space="0" w:color="auto"/>
      </w:divBdr>
    </w:div>
    <w:div w:id="1336301569">
      <w:bodyDiv w:val="1"/>
      <w:marLeft w:val="0"/>
      <w:marRight w:val="0"/>
      <w:marTop w:val="0"/>
      <w:marBottom w:val="0"/>
      <w:divBdr>
        <w:top w:val="none" w:sz="0" w:space="0" w:color="auto"/>
        <w:left w:val="none" w:sz="0" w:space="0" w:color="auto"/>
        <w:bottom w:val="none" w:sz="0" w:space="0" w:color="auto"/>
        <w:right w:val="none" w:sz="0" w:space="0" w:color="auto"/>
      </w:divBdr>
    </w:div>
    <w:div w:id="1342660235">
      <w:bodyDiv w:val="1"/>
      <w:marLeft w:val="0"/>
      <w:marRight w:val="0"/>
      <w:marTop w:val="0"/>
      <w:marBottom w:val="0"/>
      <w:divBdr>
        <w:top w:val="none" w:sz="0" w:space="0" w:color="auto"/>
        <w:left w:val="none" w:sz="0" w:space="0" w:color="auto"/>
        <w:bottom w:val="none" w:sz="0" w:space="0" w:color="auto"/>
        <w:right w:val="none" w:sz="0" w:space="0" w:color="auto"/>
      </w:divBdr>
    </w:div>
    <w:div w:id="1353336863">
      <w:bodyDiv w:val="1"/>
      <w:marLeft w:val="0"/>
      <w:marRight w:val="0"/>
      <w:marTop w:val="0"/>
      <w:marBottom w:val="0"/>
      <w:divBdr>
        <w:top w:val="none" w:sz="0" w:space="0" w:color="auto"/>
        <w:left w:val="none" w:sz="0" w:space="0" w:color="auto"/>
        <w:bottom w:val="none" w:sz="0" w:space="0" w:color="auto"/>
        <w:right w:val="none" w:sz="0" w:space="0" w:color="auto"/>
      </w:divBdr>
    </w:div>
    <w:div w:id="1373194843">
      <w:bodyDiv w:val="1"/>
      <w:marLeft w:val="0"/>
      <w:marRight w:val="0"/>
      <w:marTop w:val="0"/>
      <w:marBottom w:val="0"/>
      <w:divBdr>
        <w:top w:val="none" w:sz="0" w:space="0" w:color="auto"/>
        <w:left w:val="none" w:sz="0" w:space="0" w:color="auto"/>
        <w:bottom w:val="none" w:sz="0" w:space="0" w:color="auto"/>
        <w:right w:val="none" w:sz="0" w:space="0" w:color="auto"/>
      </w:divBdr>
    </w:div>
    <w:div w:id="1384328476">
      <w:bodyDiv w:val="1"/>
      <w:marLeft w:val="0"/>
      <w:marRight w:val="0"/>
      <w:marTop w:val="0"/>
      <w:marBottom w:val="0"/>
      <w:divBdr>
        <w:top w:val="none" w:sz="0" w:space="0" w:color="auto"/>
        <w:left w:val="none" w:sz="0" w:space="0" w:color="auto"/>
        <w:bottom w:val="none" w:sz="0" w:space="0" w:color="auto"/>
        <w:right w:val="none" w:sz="0" w:space="0" w:color="auto"/>
      </w:divBdr>
    </w:div>
    <w:div w:id="1385445302">
      <w:bodyDiv w:val="1"/>
      <w:marLeft w:val="0"/>
      <w:marRight w:val="0"/>
      <w:marTop w:val="0"/>
      <w:marBottom w:val="0"/>
      <w:divBdr>
        <w:top w:val="none" w:sz="0" w:space="0" w:color="auto"/>
        <w:left w:val="none" w:sz="0" w:space="0" w:color="auto"/>
        <w:bottom w:val="none" w:sz="0" w:space="0" w:color="auto"/>
        <w:right w:val="none" w:sz="0" w:space="0" w:color="auto"/>
      </w:divBdr>
    </w:div>
    <w:div w:id="1390618691">
      <w:bodyDiv w:val="1"/>
      <w:marLeft w:val="0"/>
      <w:marRight w:val="0"/>
      <w:marTop w:val="0"/>
      <w:marBottom w:val="0"/>
      <w:divBdr>
        <w:top w:val="none" w:sz="0" w:space="0" w:color="auto"/>
        <w:left w:val="none" w:sz="0" w:space="0" w:color="auto"/>
        <w:bottom w:val="none" w:sz="0" w:space="0" w:color="auto"/>
        <w:right w:val="none" w:sz="0" w:space="0" w:color="auto"/>
      </w:divBdr>
    </w:div>
    <w:div w:id="1398239385">
      <w:bodyDiv w:val="1"/>
      <w:marLeft w:val="0"/>
      <w:marRight w:val="0"/>
      <w:marTop w:val="0"/>
      <w:marBottom w:val="0"/>
      <w:divBdr>
        <w:top w:val="none" w:sz="0" w:space="0" w:color="auto"/>
        <w:left w:val="none" w:sz="0" w:space="0" w:color="auto"/>
        <w:bottom w:val="none" w:sz="0" w:space="0" w:color="auto"/>
        <w:right w:val="none" w:sz="0" w:space="0" w:color="auto"/>
      </w:divBdr>
    </w:div>
    <w:div w:id="1412389935">
      <w:bodyDiv w:val="1"/>
      <w:marLeft w:val="0"/>
      <w:marRight w:val="0"/>
      <w:marTop w:val="0"/>
      <w:marBottom w:val="0"/>
      <w:divBdr>
        <w:top w:val="none" w:sz="0" w:space="0" w:color="auto"/>
        <w:left w:val="none" w:sz="0" w:space="0" w:color="auto"/>
        <w:bottom w:val="none" w:sz="0" w:space="0" w:color="auto"/>
        <w:right w:val="none" w:sz="0" w:space="0" w:color="auto"/>
      </w:divBdr>
    </w:div>
    <w:div w:id="1432166144">
      <w:bodyDiv w:val="1"/>
      <w:marLeft w:val="0"/>
      <w:marRight w:val="0"/>
      <w:marTop w:val="0"/>
      <w:marBottom w:val="0"/>
      <w:divBdr>
        <w:top w:val="none" w:sz="0" w:space="0" w:color="auto"/>
        <w:left w:val="none" w:sz="0" w:space="0" w:color="auto"/>
        <w:bottom w:val="none" w:sz="0" w:space="0" w:color="auto"/>
        <w:right w:val="none" w:sz="0" w:space="0" w:color="auto"/>
      </w:divBdr>
    </w:div>
    <w:div w:id="1447777086">
      <w:bodyDiv w:val="1"/>
      <w:marLeft w:val="0"/>
      <w:marRight w:val="0"/>
      <w:marTop w:val="0"/>
      <w:marBottom w:val="0"/>
      <w:divBdr>
        <w:top w:val="none" w:sz="0" w:space="0" w:color="auto"/>
        <w:left w:val="none" w:sz="0" w:space="0" w:color="auto"/>
        <w:bottom w:val="none" w:sz="0" w:space="0" w:color="auto"/>
        <w:right w:val="none" w:sz="0" w:space="0" w:color="auto"/>
      </w:divBdr>
    </w:div>
    <w:div w:id="1485857236">
      <w:bodyDiv w:val="1"/>
      <w:marLeft w:val="0"/>
      <w:marRight w:val="0"/>
      <w:marTop w:val="0"/>
      <w:marBottom w:val="0"/>
      <w:divBdr>
        <w:top w:val="none" w:sz="0" w:space="0" w:color="auto"/>
        <w:left w:val="none" w:sz="0" w:space="0" w:color="auto"/>
        <w:bottom w:val="none" w:sz="0" w:space="0" w:color="auto"/>
        <w:right w:val="none" w:sz="0" w:space="0" w:color="auto"/>
      </w:divBdr>
    </w:div>
    <w:div w:id="1490747398">
      <w:bodyDiv w:val="1"/>
      <w:marLeft w:val="0"/>
      <w:marRight w:val="0"/>
      <w:marTop w:val="0"/>
      <w:marBottom w:val="0"/>
      <w:divBdr>
        <w:top w:val="none" w:sz="0" w:space="0" w:color="auto"/>
        <w:left w:val="none" w:sz="0" w:space="0" w:color="auto"/>
        <w:bottom w:val="none" w:sz="0" w:space="0" w:color="auto"/>
        <w:right w:val="none" w:sz="0" w:space="0" w:color="auto"/>
      </w:divBdr>
    </w:div>
    <w:div w:id="1593783555">
      <w:bodyDiv w:val="1"/>
      <w:marLeft w:val="0"/>
      <w:marRight w:val="0"/>
      <w:marTop w:val="0"/>
      <w:marBottom w:val="0"/>
      <w:divBdr>
        <w:top w:val="none" w:sz="0" w:space="0" w:color="auto"/>
        <w:left w:val="none" w:sz="0" w:space="0" w:color="auto"/>
        <w:bottom w:val="none" w:sz="0" w:space="0" w:color="auto"/>
        <w:right w:val="none" w:sz="0" w:space="0" w:color="auto"/>
      </w:divBdr>
    </w:div>
    <w:div w:id="1601066500">
      <w:bodyDiv w:val="1"/>
      <w:marLeft w:val="0"/>
      <w:marRight w:val="0"/>
      <w:marTop w:val="0"/>
      <w:marBottom w:val="0"/>
      <w:divBdr>
        <w:top w:val="none" w:sz="0" w:space="0" w:color="auto"/>
        <w:left w:val="none" w:sz="0" w:space="0" w:color="auto"/>
        <w:bottom w:val="none" w:sz="0" w:space="0" w:color="auto"/>
        <w:right w:val="none" w:sz="0" w:space="0" w:color="auto"/>
      </w:divBdr>
    </w:div>
    <w:div w:id="1641576552">
      <w:bodyDiv w:val="1"/>
      <w:marLeft w:val="0"/>
      <w:marRight w:val="0"/>
      <w:marTop w:val="0"/>
      <w:marBottom w:val="0"/>
      <w:divBdr>
        <w:top w:val="none" w:sz="0" w:space="0" w:color="auto"/>
        <w:left w:val="none" w:sz="0" w:space="0" w:color="auto"/>
        <w:bottom w:val="none" w:sz="0" w:space="0" w:color="auto"/>
        <w:right w:val="none" w:sz="0" w:space="0" w:color="auto"/>
      </w:divBdr>
    </w:div>
    <w:div w:id="1675838204">
      <w:bodyDiv w:val="1"/>
      <w:marLeft w:val="0"/>
      <w:marRight w:val="0"/>
      <w:marTop w:val="0"/>
      <w:marBottom w:val="0"/>
      <w:divBdr>
        <w:top w:val="none" w:sz="0" w:space="0" w:color="auto"/>
        <w:left w:val="none" w:sz="0" w:space="0" w:color="auto"/>
        <w:bottom w:val="none" w:sz="0" w:space="0" w:color="auto"/>
        <w:right w:val="none" w:sz="0" w:space="0" w:color="auto"/>
      </w:divBdr>
    </w:div>
    <w:div w:id="1790398407">
      <w:bodyDiv w:val="1"/>
      <w:marLeft w:val="0"/>
      <w:marRight w:val="0"/>
      <w:marTop w:val="0"/>
      <w:marBottom w:val="0"/>
      <w:divBdr>
        <w:top w:val="none" w:sz="0" w:space="0" w:color="auto"/>
        <w:left w:val="none" w:sz="0" w:space="0" w:color="auto"/>
        <w:bottom w:val="none" w:sz="0" w:space="0" w:color="auto"/>
        <w:right w:val="none" w:sz="0" w:space="0" w:color="auto"/>
      </w:divBdr>
    </w:div>
    <w:div w:id="1825005710">
      <w:bodyDiv w:val="1"/>
      <w:marLeft w:val="0"/>
      <w:marRight w:val="0"/>
      <w:marTop w:val="0"/>
      <w:marBottom w:val="0"/>
      <w:divBdr>
        <w:top w:val="none" w:sz="0" w:space="0" w:color="auto"/>
        <w:left w:val="none" w:sz="0" w:space="0" w:color="auto"/>
        <w:bottom w:val="none" w:sz="0" w:space="0" w:color="auto"/>
        <w:right w:val="none" w:sz="0" w:space="0" w:color="auto"/>
      </w:divBdr>
    </w:div>
    <w:div w:id="1857503539">
      <w:bodyDiv w:val="1"/>
      <w:marLeft w:val="0"/>
      <w:marRight w:val="0"/>
      <w:marTop w:val="0"/>
      <w:marBottom w:val="0"/>
      <w:divBdr>
        <w:top w:val="none" w:sz="0" w:space="0" w:color="auto"/>
        <w:left w:val="none" w:sz="0" w:space="0" w:color="auto"/>
        <w:bottom w:val="none" w:sz="0" w:space="0" w:color="auto"/>
        <w:right w:val="none" w:sz="0" w:space="0" w:color="auto"/>
      </w:divBdr>
    </w:div>
    <w:div w:id="1864704516">
      <w:bodyDiv w:val="1"/>
      <w:marLeft w:val="0"/>
      <w:marRight w:val="0"/>
      <w:marTop w:val="0"/>
      <w:marBottom w:val="0"/>
      <w:divBdr>
        <w:top w:val="none" w:sz="0" w:space="0" w:color="auto"/>
        <w:left w:val="none" w:sz="0" w:space="0" w:color="auto"/>
        <w:bottom w:val="none" w:sz="0" w:space="0" w:color="auto"/>
        <w:right w:val="none" w:sz="0" w:space="0" w:color="auto"/>
      </w:divBdr>
    </w:div>
    <w:div w:id="1905679243">
      <w:bodyDiv w:val="1"/>
      <w:marLeft w:val="0"/>
      <w:marRight w:val="0"/>
      <w:marTop w:val="0"/>
      <w:marBottom w:val="0"/>
      <w:divBdr>
        <w:top w:val="none" w:sz="0" w:space="0" w:color="auto"/>
        <w:left w:val="none" w:sz="0" w:space="0" w:color="auto"/>
        <w:bottom w:val="none" w:sz="0" w:space="0" w:color="auto"/>
        <w:right w:val="none" w:sz="0" w:space="0" w:color="auto"/>
      </w:divBdr>
    </w:div>
    <w:div w:id="1916359946">
      <w:bodyDiv w:val="1"/>
      <w:marLeft w:val="0"/>
      <w:marRight w:val="0"/>
      <w:marTop w:val="0"/>
      <w:marBottom w:val="0"/>
      <w:divBdr>
        <w:top w:val="none" w:sz="0" w:space="0" w:color="auto"/>
        <w:left w:val="none" w:sz="0" w:space="0" w:color="auto"/>
        <w:bottom w:val="none" w:sz="0" w:space="0" w:color="auto"/>
        <w:right w:val="none" w:sz="0" w:space="0" w:color="auto"/>
      </w:divBdr>
    </w:div>
    <w:div w:id="1935043581">
      <w:bodyDiv w:val="1"/>
      <w:marLeft w:val="0"/>
      <w:marRight w:val="0"/>
      <w:marTop w:val="0"/>
      <w:marBottom w:val="0"/>
      <w:divBdr>
        <w:top w:val="none" w:sz="0" w:space="0" w:color="auto"/>
        <w:left w:val="none" w:sz="0" w:space="0" w:color="auto"/>
        <w:bottom w:val="none" w:sz="0" w:space="0" w:color="auto"/>
        <w:right w:val="none" w:sz="0" w:space="0" w:color="auto"/>
      </w:divBdr>
    </w:div>
    <w:div w:id="1938519725">
      <w:bodyDiv w:val="1"/>
      <w:marLeft w:val="0"/>
      <w:marRight w:val="0"/>
      <w:marTop w:val="0"/>
      <w:marBottom w:val="0"/>
      <w:divBdr>
        <w:top w:val="none" w:sz="0" w:space="0" w:color="auto"/>
        <w:left w:val="none" w:sz="0" w:space="0" w:color="auto"/>
        <w:bottom w:val="none" w:sz="0" w:space="0" w:color="auto"/>
        <w:right w:val="none" w:sz="0" w:space="0" w:color="auto"/>
      </w:divBdr>
    </w:div>
    <w:div w:id="1980112066">
      <w:bodyDiv w:val="1"/>
      <w:marLeft w:val="0"/>
      <w:marRight w:val="0"/>
      <w:marTop w:val="0"/>
      <w:marBottom w:val="0"/>
      <w:divBdr>
        <w:top w:val="none" w:sz="0" w:space="0" w:color="auto"/>
        <w:left w:val="none" w:sz="0" w:space="0" w:color="auto"/>
        <w:bottom w:val="none" w:sz="0" w:space="0" w:color="auto"/>
        <w:right w:val="none" w:sz="0" w:space="0" w:color="auto"/>
      </w:divBdr>
    </w:div>
    <w:div w:id="1989086646">
      <w:bodyDiv w:val="1"/>
      <w:marLeft w:val="0"/>
      <w:marRight w:val="0"/>
      <w:marTop w:val="0"/>
      <w:marBottom w:val="0"/>
      <w:divBdr>
        <w:top w:val="none" w:sz="0" w:space="0" w:color="auto"/>
        <w:left w:val="none" w:sz="0" w:space="0" w:color="auto"/>
        <w:bottom w:val="none" w:sz="0" w:space="0" w:color="auto"/>
        <w:right w:val="none" w:sz="0" w:space="0" w:color="auto"/>
      </w:divBdr>
    </w:div>
    <w:div w:id="2026132460">
      <w:bodyDiv w:val="1"/>
      <w:marLeft w:val="0"/>
      <w:marRight w:val="0"/>
      <w:marTop w:val="0"/>
      <w:marBottom w:val="0"/>
      <w:divBdr>
        <w:top w:val="none" w:sz="0" w:space="0" w:color="auto"/>
        <w:left w:val="none" w:sz="0" w:space="0" w:color="auto"/>
        <w:bottom w:val="none" w:sz="0" w:space="0" w:color="auto"/>
        <w:right w:val="none" w:sz="0" w:space="0" w:color="auto"/>
      </w:divBdr>
    </w:div>
    <w:div w:id="2073577997">
      <w:bodyDiv w:val="1"/>
      <w:marLeft w:val="0"/>
      <w:marRight w:val="0"/>
      <w:marTop w:val="0"/>
      <w:marBottom w:val="0"/>
      <w:divBdr>
        <w:top w:val="none" w:sz="0" w:space="0" w:color="auto"/>
        <w:left w:val="none" w:sz="0" w:space="0" w:color="auto"/>
        <w:bottom w:val="none" w:sz="0" w:space="0" w:color="auto"/>
        <w:right w:val="none" w:sz="0" w:space="0" w:color="auto"/>
      </w:divBdr>
    </w:div>
    <w:div w:id="2143689200">
      <w:bodyDiv w:val="1"/>
      <w:marLeft w:val="0"/>
      <w:marRight w:val="0"/>
      <w:marTop w:val="0"/>
      <w:marBottom w:val="0"/>
      <w:divBdr>
        <w:top w:val="none" w:sz="0" w:space="0" w:color="auto"/>
        <w:left w:val="none" w:sz="0" w:space="0" w:color="auto"/>
        <w:bottom w:val="none" w:sz="0" w:space="0" w:color="auto"/>
        <w:right w:val="none" w:sz="0" w:space="0" w:color="auto"/>
      </w:divBdr>
    </w:div>
    <w:div w:id="214561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do.reyes@humphreys.cl" TargetMode="External"/><Relationship Id="rId18" Type="http://schemas.openxmlformats.org/officeDocument/2006/relationships/chart" Target="charts/chart2.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chart" Target="charts/chart5.xml"/><Relationship Id="rId7" Type="http://schemas.openxmlformats.org/officeDocument/2006/relationships/settings" Target="settings.xml"/><Relationship Id="rId12" Type="http://schemas.openxmlformats.org/officeDocument/2006/relationships/hyperlink" Target="mailto:ximena.oyarce@humphreys.cl" TargetMode="Externa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aldo.reyes@humphreys.cl" TargetMode="External"/><Relationship Id="rId20" Type="http://schemas.openxmlformats.org/officeDocument/2006/relationships/chart" Target="charts/chart4.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varo.reyes@humphreys.cl" TargetMode="External"/><Relationship Id="rId24" Type="http://schemas.openxmlformats.org/officeDocument/2006/relationships/chart" Target="charts/chart8.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ximena.oyarce@humphreys.cl" TargetMode="External"/><Relationship Id="rId23" Type="http://schemas.openxmlformats.org/officeDocument/2006/relationships/chart" Target="charts/chart7.xm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lvaro.reyes@humphreys.cl" TargetMode="External"/><Relationship Id="rId22" Type="http://schemas.openxmlformats.org/officeDocument/2006/relationships/chart" Target="charts/chart6.xm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icaVaccaro\AppData\Local\Microsoft\Windows\INetCache\Content.Outlook\E475JABV\Plantilla%20Informe_2.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humphreysltda.sharepoint.com/Shared%20Documents/CLASIFICADORA/CLIENTES/_Migr/COMPARACIONES%20POR%20SECTOR/Cajas%20de%20Compensaci&#243;n/Colocaciones%20caja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humphreysltda.sharepoint.com/Shared%20Documents/CLASIFICADORA/CLIENTES/_Migr/COMPARACIONES%20POR%20SECTOR/Cajas%20de%20Compensaci&#243;n/Morosidad%20CCAF%20y%20patrimonio_ind%20perdida_repactacion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humphreysltda.sharepoint.com/sites/clasificaciones/Repositorio/CCAF%20LA%20ARAUCANA%20(X)/2022%2007%20A/02%20ANALISIS/An&#225;lisis%20CCAF%20La%20Araucana%202022%2007.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humphreysltda.sharepoint.com/sites/clasificaciones/Repositorio/CCAF%20LA%20ARAUCANA%20(X)/2022%2007%20A/02%20ANALISIS/An&#225;lisis%20CCAF%20La%20Araucana%202022%2007.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humphreysltda.sharepoint.com/sites/clasificaciones/Repositorio/CCAF%20LA%20ARAUCANA%20(X)/2022%2007%20A/02%20ANALISIS/An&#225;lisis%20CCAF%20La%20Araucana%202022%2007.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humphreysltda.sharepoint.com/sites/clasificaciones/Repositorio/CCAF%20LA%20ARAUCANA%20(X)/2022%2007%20A/02%20ANALISIS/An&#225;lisis%20CCAF%20La%20Araucana%202022%2007.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humphreysltda.sharepoint.com/sites/clasificaciones/Repositorio/CCAF%20LA%20ARAUCANA%20(X)/2022%2007%20A/02%20ANALISIS/An&#225;lisis%20CCAF%20La%20Araucana%202022%2007.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humphreysltda.sharepoint.com/sites/clasificaciones/Repositorio/CCAF%20LA%20ARAUCANA%20(X)/2022%2007%20A/02%20ANALISIS/An&#225;lisis%20CCAF%20La%20Araucana%202022%2007.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humphreysltda.sharepoint.com/sites/clasificaciones/Repositorio/CCAF%20LA%20ARAUCANA%20(X)/2022%2007%20A/02%20ANALISIS/An&#225;lisis%20CCAF%20La%20Araucana%202022%2007.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20436847268403"/>
          <c:y val="4.8511576626240352E-2"/>
          <c:w val="0.87556520153834139"/>
          <c:h val="0.69508025939976903"/>
        </c:manualLayout>
      </c:layout>
      <c:barChart>
        <c:barDir val="col"/>
        <c:grouping val="stacked"/>
        <c:varyColors val="0"/>
        <c:ser>
          <c:idx val="0"/>
          <c:order val="0"/>
          <c:tx>
            <c:strRef>
              <c:f>'La araucana'!$A$32:$C$32</c:f>
              <c:strCache>
                <c:ptCount val="3"/>
                <c:pt idx="0">
                  <c:v>Total colocaciones trabajadores</c:v>
                </c:pt>
              </c:strCache>
            </c:strRef>
          </c:tx>
          <c:spPr>
            <a:solidFill>
              <a:srgbClr val="AF1923"/>
            </a:solidFill>
            <a:ln>
              <a:noFill/>
            </a:ln>
            <a:effectLst/>
          </c:spPr>
          <c:invertIfNegative val="0"/>
          <c:cat>
            <c:numRef>
              <c:f>'La araucana'!$I$4:$AK$4</c:f>
              <c:numCache>
                <c:formatCode>mmm\-yy</c:formatCode>
                <c:ptCount val="29"/>
                <c:pt idx="0">
                  <c:v>42064</c:v>
                </c:pt>
                <c:pt idx="1">
                  <c:v>42156</c:v>
                </c:pt>
                <c:pt idx="2">
                  <c:v>42248</c:v>
                </c:pt>
                <c:pt idx="3">
                  <c:v>42339</c:v>
                </c:pt>
                <c:pt idx="4">
                  <c:v>42430</c:v>
                </c:pt>
                <c:pt idx="5">
                  <c:v>42522</c:v>
                </c:pt>
                <c:pt idx="6">
                  <c:v>42614</c:v>
                </c:pt>
                <c:pt idx="7">
                  <c:v>42705</c:v>
                </c:pt>
                <c:pt idx="8">
                  <c:v>42795</c:v>
                </c:pt>
                <c:pt idx="9">
                  <c:v>42887</c:v>
                </c:pt>
                <c:pt idx="10">
                  <c:v>42979</c:v>
                </c:pt>
                <c:pt idx="11">
                  <c:v>43070</c:v>
                </c:pt>
                <c:pt idx="12">
                  <c:v>43160</c:v>
                </c:pt>
                <c:pt idx="13">
                  <c:v>43252</c:v>
                </c:pt>
                <c:pt idx="14">
                  <c:v>43344</c:v>
                </c:pt>
                <c:pt idx="15">
                  <c:v>43435</c:v>
                </c:pt>
                <c:pt idx="16">
                  <c:v>43525</c:v>
                </c:pt>
                <c:pt idx="17">
                  <c:v>43617</c:v>
                </c:pt>
                <c:pt idx="18">
                  <c:v>43709</c:v>
                </c:pt>
                <c:pt idx="19">
                  <c:v>43800</c:v>
                </c:pt>
                <c:pt idx="20">
                  <c:v>43891</c:v>
                </c:pt>
                <c:pt idx="21">
                  <c:v>43983</c:v>
                </c:pt>
                <c:pt idx="22">
                  <c:v>44075</c:v>
                </c:pt>
                <c:pt idx="23">
                  <c:v>44166</c:v>
                </c:pt>
                <c:pt idx="24">
                  <c:v>44256</c:v>
                </c:pt>
                <c:pt idx="25">
                  <c:v>44348</c:v>
                </c:pt>
                <c:pt idx="26">
                  <c:v>44440</c:v>
                </c:pt>
                <c:pt idx="27">
                  <c:v>44531</c:v>
                </c:pt>
                <c:pt idx="28">
                  <c:v>44621</c:v>
                </c:pt>
              </c:numCache>
            </c:numRef>
          </c:cat>
          <c:val>
            <c:numRef>
              <c:f>'La araucana'!$I$32:$AK$32</c:f>
              <c:numCache>
                <c:formatCode>_(* #,##0_);_(* \(#,##0\);_(* "-"_);_(@_)</c:formatCode>
                <c:ptCount val="29"/>
                <c:pt idx="0">
                  <c:v>324615671</c:v>
                </c:pt>
                <c:pt idx="1">
                  <c:v>329965082</c:v>
                </c:pt>
                <c:pt idx="2">
                  <c:v>318485684</c:v>
                </c:pt>
                <c:pt idx="3">
                  <c:v>279737874</c:v>
                </c:pt>
                <c:pt idx="4">
                  <c:v>263587988</c:v>
                </c:pt>
                <c:pt idx="5">
                  <c:v>254108026</c:v>
                </c:pt>
                <c:pt idx="6">
                  <c:v>246629724</c:v>
                </c:pt>
                <c:pt idx="7">
                  <c:v>252690191</c:v>
                </c:pt>
                <c:pt idx="8">
                  <c:v>254519392</c:v>
                </c:pt>
                <c:pt idx="9">
                  <c:v>247347714</c:v>
                </c:pt>
                <c:pt idx="10">
                  <c:v>246984418</c:v>
                </c:pt>
                <c:pt idx="11">
                  <c:v>256268450</c:v>
                </c:pt>
                <c:pt idx="12">
                  <c:v>259458487</c:v>
                </c:pt>
                <c:pt idx="13">
                  <c:v>254618903</c:v>
                </c:pt>
                <c:pt idx="14">
                  <c:v>250548395</c:v>
                </c:pt>
                <c:pt idx="15">
                  <c:v>253308499</c:v>
                </c:pt>
                <c:pt idx="16">
                  <c:v>255914052</c:v>
                </c:pt>
                <c:pt idx="17">
                  <c:v>252706178</c:v>
                </c:pt>
                <c:pt idx="18">
                  <c:v>254674141</c:v>
                </c:pt>
                <c:pt idx="19">
                  <c:v>255372641</c:v>
                </c:pt>
                <c:pt idx="20">
                  <c:v>252762970</c:v>
                </c:pt>
                <c:pt idx="21">
                  <c:v>234816460</c:v>
                </c:pt>
                <c:pt idx="22">
                  <c:v>221825282</c:v>
                </c:pt>
                <c:pt idx="23">
                  <c:v>212373035</c:v>
                </c:pt>
                <c:pt idx="24">
                  <c:v>202612760</c:v>
                </c:pt>
                <c:pt idx="25">
                  <c:v>190907151</c:v>
                </c:pt>
                <c:pt idx="26">
                  <c:v>184599761</c:v>
                </c:pt>
                <c:pt idx="27">
                  <c:v>193774686</c:v>
                </c:pt>
                <c:pt idx="28">
                  <c:v>201574792</c:v>
                </c:pt>
              </c:numCache>
            </c:numRef>
          </c:val>
          <c:extLst>
            <c:ext xmlns:c16="http://schemas.microsoft.com/office/drawing/2014/chart" uri="{C3380CC4-5D6E-409C-BE32-E72D297353CC}">
              <c16:uniqueId val="{00000000-E9BA-46A5-8443-AC02D763D31A}"/>
            </c:ext>
          </c:extLst>
        </c:ser>
        <c:ser>
          <c:idx val="1"/>
          <c:order val="1"/>
          <c:tx>
            <c:strRef>
              <c:f>'La araucana'!$A$33:$C$33</c:f>
              <c:strCache>
                <c:ptCount val="3"/>
                <c:pt idx="0">
                  <c:v>Total colocaciones pensionados</c:v>
                </c:pt>
              </c:strCache>
            </c:strRef>
          </c:tx>
          <c:spPr>
            <a:solidFill>
              <a:srgbClr val="284675"/>
            </a:solidFill>
            <a:ln>
              <a:noFill/>
            </a:ln>
            <a:effectLst/>
          </c:spPr>
          <c:invertIfNegative val="0"/>
          <c:cat>
            <c:numRef>
              <c:f>'La araucana'!$I$4:$AK$4</c:f>
              <c:numCache>
                <c:formatCode>mmm\-yy</c:formatCode>
                <c:ptCount val="29"/>
                <c:pt idx="0">
                  <c:v>42064</c:v>
                </c:pt>
                <c:pt idx="1">
                  <c:v>42156</c:v>
                </c:pt>
                <c:pt idx="2">
                  <c:v>42248</c:v>
                </c:pt>
                <c:pt idx="3">
                  <c:v>42339</c:v>
                </c:pt>
                <c:pt idx="4">
                  <c:v>42430</c:v>
                </c:pt>
                <c:pt idx="5">
                  <c:v>42522</c:v>
                </c:pt>
                <c:pt idx="6">
                  <c:v>42614</c:v>
                </c:pt>
                <c:pt idx="7">
                  <c:v>42705</c:v>
                </c:pt>
                <c:pt idx="8">
                  <c:v>42795</c:v>
                </c:pt>
                <c:pt idx="9">
                  <c:v>42887</c:v>
                </c:pt>
                <c:pt idx="10">
                  <c:v>42979</c:v>
                </c:pt>
                <c:pt idx="11">
                  <c:v>43070</c:v>
                </c:pt>
                <c:pt idx="12">
                  <c:v>43160</c:v>
                </c:pt>
                <c:pt idx="13">
                  <c:v>43252</c:v>
                </c:pt>
                <c:pt idx="14">
                  <c:v>43344</c:v>
                </c:pt>
                <c:pt idx="15">
                  <c:v>43435</c:v>
                </c:pt>
                <c:pt idx="16">
                  <c:v>43525</c:v>
                </c:pt>
                <c:pt idx="17">
                  <c:v>43617</c:v>
                </c:pt>
                <c:pt idx="18">
                  <c:v>43709</c:v>
                </c:pt>
                <c:pt idx="19">
                  <c:v>43800</c:v>
                </c:pt>
                <c:pt idx="20">
                  <c:v>43891</c:v>
                </c:pt>
                <c:pt idx="21">
                  <c:v>43983</c:v>
                </c:pt>
                <c:pt idx="22">
                  <c:v>44075</c:v>
                </c:pt>
                <c:pt idx="23">
                  <c:v>44166</c:v>
                </c:pt>
                <c:pt idx="24">
                  <c:v>44256</c:v>
                </c:pt>
                <c:pt idx="25">
                  <c:v>44348</c:v>
                </c:pt>
                <c:pt idx="26">
                  <c:v>44440</c:v>
                </c:pt>
                <c:pt idx="27">
                  <c:v>44531</c:v>
                </c:pt>
                <c:pt idx="28">
                  <c:v>44621</c:v>
                </c:pt>
              </c:numCache>
            </c:numRef>
          </c:cat>
          <c:val>
            <c:numRef>
              <c:f>'La araucana'!$I$33:$AK$33</c:f>
              <c:numCache>
                <c:formatCode>_(* #,##0_);_(* \(#,##0\);_(* "-"_);_(@_)</c:formatCode>
                <c:ptCount val="29"/>
                <c:pt idx="0">
                  <c:v>108301627</c:v>
                </c:pt>
                <c:pt idx="1">
                  <c:v>108835673</c:v>
                </c:pt>
                <c:pt idx="2">
                  <c:v>105658231</c:v>
                </c:pt>
                <c:pt idx="3">
                  <c:v>99159232</c:v>
                </c:pt>
                <c:pt idx="4">
                  <c:v>95396738</c:v>
                </c:pt>
                <c:pt idx="5">
                  <c:v>86473066</c:v>
                </c:pt>
                <c:pt idx="6">
                  <c:v>85006124</c:v>
                </c:pt>
                <c:pt idx="7">
                  <c:v>81621189</c:v>
                </c:pt>
                <c:pt idx="8">
                  <c:v>80631107</c:v>
                </c:pt>
                <c:pt idx="9">
                  <c:v>79505814</c:v>
                </c:pt>
                <c:pt idx="10">
                  <c:v>79438510</c:v>
                </c:pt>
                <c:pt idx="11">
                  <c:v>79241932</c:v>
                </c:pt>
                <c:pt idx="12">
                  <c:v>78812875</c:v>
                </c:pt>
                <c:pt idx="13">
                  <c:v>78437720</c:v>
                </c:pt>
                <c:pt idx="14">
                  <c:v>79017376</c:v>
                </c:pt>
                <c:pt idx="15">
                  <c:v>80871796</c:v>
                </c:pt>
                <c:pt idx="16">
                  <c:v>81427218</c:v>
                </c:pt>
                <c:pt idx="17">
                  <c:v>80008953</c:v>
                </c:pt>
                <c:pt idx="18">
                  <c:v>79611718</c:v>
                </c:pt>
                <c:pt idx="19">
                  <c:v>80891240</c:v>
                </c:pt>
                <c:pt idx="20">
                  <c:v>82810090</c:v>
                </c:pt>
                <c:pt idx="21">
                  <c:v>81352036</c:v>
                </c:pt>
                <c:pt idx="22">
                  <c:v>79661993</c:v>
                </c:pt>
                <c:pt idx="23">
                  <c:v>79344386</c:v>
                </c:pt>
                <c:pt idx="24">
                  <c:v>77952646</c:v>
                </c:pt>
                <c:pt idx="25">
                  <c:v>75298738</c:v>
                </c:pt>
                <c:pt idx="26">
                  <c:v>73261760</c:v>
                </c:pt>
                <c:pt idx="27">
                  <c:v>75068818</c:v>
                </c:pt>
                <c:pt idx="28">
                  <c:v>78146453</c:v>
                </c:pt>
              </c:numCache>
            </c:numRef>
          </c:val>
          <c:extLst>
            <c:ext xmlns:c16="http://schemas.microsoft.com/office/drawing/2014/chart" uri="{C3380CC4-5D6E-409C-BE32-E72D297353CC}">
              <c16:uniqueId val="{00000001-E9BA-46A5-8443-AC02D763D31A}"/>
            </c:ext>
          </c:extLst>
        </c:ser>
        <c:dLbls>
          <c:showLegendKey val="0"/>
          <c:showVal val="0"/>
          <c:showCatName val="0"/>
          <c:showSerName val="0"/>
          <c:showPercent val="0"/>
          <c:showBubbleSize val="0"/>
        </c:dLbls>
        <c:gapWidth val="150"/>
        <c:overlap val="100"/>
        <c:axId val="909424152"/>
        <c:axId val="909436288"/>
      </c:barChart>
      <c:catAx>
        <c:axId val="90942415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mn-ea"/>
                <a:cs typeface="+mn-cs"/>
              </a:defRPr>
            </a:pPr>
            <a:endParaRPr lang="es-CL"/>
          </a:p>
        </c:txPr>
        <c:crossAx val="909436288"/>
        <c:crosses val="autoZero"/>
        <c:auto val="0"/>
        <c:lblAlgn val="ctr"/>
        <c:lblOffset val="100"/>
        <c:noMultiLvlLbl val="0"/>
      </c:catAx>
      <c:valAx>
        <c:axId val="909436288"/>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mn-ea"/>
                <a:cs typeface="+mn-cs"/>
              </a:defRPr>
            </a:pPr>
            <a:endParaRPr lang="es-CL"/>
          </a:p>
        </c:txPr>
        <c:crossAx val="909424152"/>
        <c:crosses val="autoZero"/>
        <c:crossBetween val="between"/>
        <c:majorUnit val="100000000"/>
        <c:dispUnits>
          <c:builtInUnit val="thousands"/>
          <c:dispUnitsLbl>
            <c:layout>
              <c:manualLayout>
                <c:xMode val="edge"/>
                <c:yMode val="edge"/>
                <c:x val="9.5217425274982841E-4"/>
                <c:y val="0.3475495055951523"/>
              </c:manualLayout>
            </c:layout>
            <c:tx>
              <c:rich>
                <a:bodyPr rot="-540000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mn-ea"/>
                      <a:cs typeface="+mn-cs"/>
                    </a:defRPr>
                  </a:pPr>
                  <a:r>
                    <a:rPr lang="en-US" b="0"/>
                    <a:t>MM$</a:t>
                  </a:r>
                </a:p>
              </c:rich>
            </c:tx>
            <c:spPr>
              <a:noFill/>
              <a:ln>
                <a:noFill/>
              </a:ln>
              <a:effectLst/>
            </c:spPr>
            <c:txPr>
              <a:bodyPr rot="-540000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mn-ea"/>
                    <a:cs typeface="+mn-cs"/>
                  </a:defRPr>
                </a:pPr>
                <a:endParaRPr lang="es-CL"/>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mn-ea"/>
              <a:cs typeface="+mn-cs"/>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baseline="0">
          <a:solidFill>
            <a:srgbClr val="2E3B5D"/>
          </a:solidFill>
          <a:latin typeface="Myriad Pro" panose="020B0503030403020204" pitchFamily="34" charset="0"/>
        </a:defRPr>
      </a:pPr>
      <a:endParaRPr lang="es-C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604068096780069E-2"/>
          <c:y val="2.1201677243486792E-2"/>
          <c:w val="0.86573995780847135"/>
          <c:h val="0.6994077559489188"/>
        </c:manualLayout>
      </c:layout>
      <c:lineChart>
        <c:grouping val="standard"/>
        <c:varyColors val="0"/>
        <c:ser>
          <c:idx val="1"/>
          <c:order val="1"/>
          <c:tx>
            <c:strRef>
              <c:f>'La Araucana'!$C$40</c:f>
              <c:strCache>
                <c:ptCount val="1"/>
                <c:pt idx="0">
                  <c:v>1-30</c:v>
                </c:pt>
              </c:strCache>
            </c:strRef>
          </c:tx>
          <c:spPr>
            <a:ln w="28575" cap="rnd">
              <a:solidFill>
                <a:srgbClr val="AF1923"/>
              </a:solidFill>
              <a:round/>
            </a:ln>
            <a:effectLst/>
          </c:spPr>
          <c:marker>
            <c:symbol val="none"/>
          </c:marker>
          <c:cat>
            <c:numRef>
              <c:f>'La Araucana'!$I$3:$AK$3</c:f>
              <c:numCache>
                <c:formatCode>mmm\-yy</c:formatCode>
                <c:ptCount val="29"/>
                <c:pt idx="0">
                  <c:v>42064</c:v>
                </c:pt>
                <c:pt idx="1">
                  <c:v>42156</c:v>
                </c:pt>
                <c:pt idx="2">
                  <c:v>42248</c:v>
                </c:pt>
                <c:pt idx="3">
                  <c:v>42339</c:v>
                </c:pt>
                <c:pt idx="4">
                  <c:v>42430</c:v>
                </c:pt>
                <c:pt idx="5">
                  <c:v>42522</c:v>
                </c:pt>
                <c:pt idx="6">
                  <c:v>42614</c:v>
                </c:pt>
                <c:pt idx="7">
                  <c:v>42705</c:v>
                </c:pt>
                <c:pt idx="8">
                  <c:v>42795</c:v>
                </c:pt>
                <c:pt idx="9">
                  <c:v>42887</c:v>
                </c:pt>
                <c:pt idx="10">
                  <c:v>42979</c:v>
                </c:pt>
                <c:pt idx="11">
                  <c:v>43070</c:v>
                </c:pt>
                <c:pt idx="12">
                  <c:v>43160</c:v>
                </c:pt>
                <c:pt idx="13">
                  <c:v>43252</c:v>
                </c:pt>
                <c:pt idx="14">
                  <c:v>43344</c:v>
                </c:pt>
                <c:pt idx="15">
                  <c:v>43435</c:v>
                </c:pt>
                <c:pt idx="16">
                  <c:v>43525</c:v>
                </c:pt>
                <c:pt idx="17">
                  <c:v>43617</c:v>
                </c:pt>
                <c:pt idx="18">
                  <c:v>43709</c:v>
                </c:pt>
                <c:pt idx="19">
                  <c:v>43800</c:v>
                </c:pt>
                <c:pt idx="20">
                  <c:v>43891</c:v>
                </c:pt>
                <c:pt idx="21">
                  <c:v>43983</c:v>
                </c:pt>
                <c:pt idx="22">
                  <c:v>44075</c:v>
                </c:pt>
                <c:pt idx="23">
                  <c:v>44166</c:v>
                </c:pt>
                <c:pt idx="24">
                  <c:v>44256</c:v>
                </c:pt>
                <c:pt idx="25">
                  <c:v>44348</c:v>
                </c:pt>
                <c:pt idx="26">
                  <c:v>44440</c:v>
                </c:pt>
                <c:pt idx="27">
                  <c:v>44531</c:v>
                </c:pt>
                <c:pt idx="28">
                  <c:v>44621</c:v>
                </c:pt>
              </c:numCache>
              <c:extLst/>
            </c:numRef>
          </c:cat>
          <c:val>
            <c:numRef>
              <c:f>'La Araucana'!$I$40:$AK$40</c:f>
              <c:numCache>
                <c:formatCode>0.0%</c:formatCode>
                <c:ptCount val="29"/>
                <c:pt idx="0">
                  <c:v>4.0983104730337117E-2</c:v>
                </c:pt>
                <c:pt idx="1">
                  <c:v>3.7417990820012466E-2</c:v>
                </c:pt>
                <c:pt idx="2">
                  <c:v>8.1407967005243165E-2</c:v>
                </c:pt>
                <c:pt idx="3">
                  <c:v>6.2576934159688569E-2</c:v>
                </c:pt>
                <c:pt idx="4">
                  <c:v>6.009809342672167E-2</c:v>
                </c:pt>
                <c:pt idx="5">
                  <c:v>5.543961480371324E-2</c:v>
                </c:pt>
                <c:pt idx="6">
                  <c:v>5.4561449617161799E-2</c:v>
                </c:pt>
                <c:pt idx="7">
                  <c:v>5.0199067661988804E-2</c:v>
                </c:pt>
                <c:pt idx="8">
                  <c:v>5.0300615693260359E-2</c:v>
                </c:pt>
                <c:pt idx="9">
                  <c:v>5.7322931024716806E-2</c:v>
                </c:pt>
                <c:pt idx="10">
                  <c:v>5.3709210073100352E-2</c:v>
                </c:pt>
                <c:pt idx="11">
                  <c:v>4.8879204113099976E-2</c:v>
                </c:pt>
                <c:pt idx="12">
                  <c:v>5.5214779563362335E-2</c:v>
                </c:pt>
                <c:pt idx="13">
                  <c:v>5.5802635866836002E-2</c:v>
                </c:pt>
                <c:pt idx="14">
                  <c:v>5.03090412071115E-2</c:v>
                </c:pt>
                <c:pt idx="15">
                  <c:v>5.1914950295744847E-2</c:v>
                </c:pt>
                <c:pt idx="16">
                  <c:v>4.8278720812609387E-2</c:v>
                </c:pt>
                <c:pt idx="17">
                  <c:v>5.0900439369570054E-2</c:v>
                </c:pt>
                <c:pt idx="18">
                  <c:v>4.8820950260240067E-2</c:v>
                </c:pt>
                <c:pt idx="19">
                  <c:v>4.7444518573563119E-2</c:v>
                </c:pt>
                <c:pt idx="20">
                  <c:v>5.1928767500287173E-2</c:v>
                </c:pt>
                <c:pt idx="21">
                  <c:v>5.4040242057311283E-2</c:v>
                </c:pt>
                <c:pt idx="22">
                  <c:v>5.6736493310244142E-2</c:v>
                </c:pt>
                <c:pt idx="23">
                  <c:v>5.2751893881472417E-2</c:v>
                </c:pt>
                <c:pt idx="24">
                  <c:v>5.2349756137239793E-2</c:v>
                </c:pt>
                <c:pt idx="25">
                  <c:v>5.3499435718923301E-2</c:v>
                </c:pt>
                <c:pt idx="26">
                  <c:v>5.042367028482457E-2</c:v>
                </c:pt>
                <c:pt idx="27">
                  <c:v>4.5849205947474214E-2</c:v>
                </c:pt>
                <c:pt idx="28">
                  <c:v>4.1889543626027516E-2</c:v>
                </c:pt>
              </c:numCache>
              <c:extLst/>
            </c:numRef>
          </c:val>
          <c:smooth val="0"/>
          <c:extLst>
            <c:ext xmlns:c16="http://schemas.microsoft.com/office/drawing/2014/chart" uri="{C3380CC4-5D6E-409C-BE32-E72D297353CC}">
              <c16:uniqueId val="{00000000-7C3F-4604-9E28-690BD103597E}"/>
            </c:ext>
          </c:extLst>
        </c:ser>
        <c:ser>
          <c:idx val="2"/>
          <c:order val="2"/>
          <c:tx>
            <c:strRef>
              <c:f>'La Araucana'!$C$41</c:f>
              <c:strCache>
                <c:ptCount val="1"/>
                <c:pt idx="0">
                  <c:v>31-60</c:v>
                </c:pt>
              </c:strCache>
            </c:strRef>
          </c:tx>
          <c:spPr>
            <a:ln w="28575" cap="rnd">
              <a:solidFill>
                <a:srgbClr val="284675"/>
              </a:solidFill>
              <a:round/>
            </a:ln>
            <a:effectLst/>
          </c:spPr>
          <c:marker>
            <c:symbol val="none"/>
          </c:marker>
          <c:cat>
            <c:numRef>
              <c:f>'La Araucana'!$I$3:$AK$3</c:f>
              <c:numCache>
                <c:formatCode>mmm\-yy</c:formatCode>
                <c:ptCount val="29"/>
                <c:pt idx="0">
                  <c:v>42064</c:v>
                </c:pt>
                <c:pt idx="1">
                  <c:v>42156</c:v>
                </c:pt>
                <c:pt idx="2">
                  <c:v>42248</c:v>
                </c:pt>
                <c:pt idx="3">
                  <c:v>42339</c:v>
                </c:pt>
                <c:pt idx="4">
                  <c:v>42430</c:v>
                </c:pt>
                <c:pt idx="5">
                  <c:v>42522</c:v>
                </c:pt>
                <c:pt idx="6">
                  <c:v>42614</c:v>
                </c:pt>
                <c:pt idx="7">
                  <c:v>42705</c:v>
                </c:pt>
                <c:pt idx="8">
                  <c:v>42795</c:v>
                </c:pt>
                <c:pt idx="9">
                  <c:v>42887</c:v>
                </c:pt>
                <c:pt idx="10">
                  <c:v>42979</c:v>
                </c:pt>
                <c:pt idx="11">
                  <c:v>43070</c:v>
                </c:pt>
                <c:pt idx="12">
                  <c:v>43160</c:v>
                </c:pt>
                <c:pt idx="13">
                  <c:v>43252</c:v>
                </c:pt>
                <c:pt idx="14">
                  <c:v>43344</c:v>
                </c:pt>
                <c:pt idx="15">
                  <c:v>43435</c:v>
                </c:pt>
                <c:pt idx="16">
                  <c:v>43525</c:v>
                </c:pt>
                <c:pt idx="17">
                  <c:v>43617</c:v>
                </c:pt>
                <c:pt idx="18">
                  <c:v>43709</c:v>
                </c:pt>
                <c:pt idx="19">
                  <c:v>43800</c:v>
                </c:pt>
                <c:pt idx="20">
                  <c:v>43891</c:v>
                </c:pt>
                <c:pt idx="21">
                  <c:v>43983</c:v>
                </c:pt>
                <c:pt idx="22">
                  <c:v>44075</c:v>
                </c:pt>
                <c:pt idx="23">
                  <c:v>44166</c:v>
                </c:pt>
                <c:pt idx="24">
                  <c:v>44256</c:v>
                </c:pt>
                <c:pt idx="25">
                  <c:v>44348</c:v>
                </c:pt>
                <c:pt idx="26">
                  <c:v>44440</c:v>
                </c:pt>
                <c:pt idx="27">
                  <c:v>44531</c:v>
                </c:pt>
                <c:pt idx="28">
                  <c:v>44621</c:v>
                </c:pt>
              </c:numCache>
              <c:extLst/>
            </c:numRef>
          </c:cat>
          <c:val>
            <c:numRef>
              <c:f>'La Araucana'!$I$41:$AK$41</c:f>
              <c:numCache>
                <c:formatCode>0.0%</c:formatCode>
                <c:ptCount val="29"/>
                <c:pt idx="0">
                  <c:v>1.8206014275543345E-2</c:v>
                </c:pt>
                <c:pt idx="1">
                  <c:v>1.7158083132257067E-2</c:v>
                </c:pt>
                <c:pt idx="2">
                  <c:v>2.5236465528363925E-2</c:v>
                </c:pt>
                <c:pt idx="3">
                  <c:v>2.9907005331596927E-2</c:v>
                </c:pt>
                <c:pt idx="4">
                  <c:v>2.6374449631971036E-2</c:v>
                </c:pt>
                <c:pt idx="5">
                  <c:v>2.6079041102938662E-2</c:v>
                </c:pt>
                <c:pt idx="6">
                  <c:v>2.171581104918004E-2</c:v>
                </c:pt>
                <c:pt idx="7">
                  <c:v>1.9880024430798324E-2</c:v>
                </c:pt>
                <c:pt idx="8">
                  <c:v>2.2860314946813145E-2</c:v>
                </c:pt>
                <c:pt idx="9">
                  <c:v>2.3912364382563597E-2</c:v>
                </c:pt>
                <c:pt idx="10">
                  <c:v>2.107397825976854E-2</c:v>
                </c:pt>
                <c:pt idx="11">
                  <c:v>1.9707118994860127E-2</c:v>
                </c:pt>
                <c:pt idx="12">
                  <c:v>2.2570865889828835E-2</c:v>
                </c:pt>
                <c:pt idx="13">
                  <c:v>3.6277938782360027E-2</c:v>
                </c:pt>
                <c:pt idx="14">
                  <c:v>2.426243418228068E-2</c:v>
                </c:pt>
                <c:pt idx="15">
                  <c:v>2.4362291042736902E-2</c:v>
                </c:pt>
                <c:pt idx="16">
                  <c:v>2.6581965121456573E-2</c:v>
                </c:pt>
                <c:pt idx="17">
                  <c:v>2.3997816005749472E-2</c:v>
                </c:pt>
                <c:pt idx="18">
                  <c:v>2.2798974016822567E-2</c:v>
                </c:pt>
                <c:pt idx="19">
                  <c:v>2.3360520749450945E-2</c:v>
                </c:pt>
                <c:pt idx="20">
                  <c:v>2.4238172950918319E-2</c:v>
                </c:pt>
                <c:pt idx="21">
                  <c:v>2.6078295833970144E-2</c:v>
                </c:pt>
                <c:pt idx="22">
                  <c:v>2.5188921223145547E-2</c:v>
                </c:pt>
                <c:pt idx="23">
                  <c:v>2.29681780463015E-2</c:v>
                </c:pt>
                <c:pt idx="24">
                  <c:v>2.4079894360858545E-2</c:v>
                </c:pt>
                <c:pt idx="25">
                  <c:v>2.4189703300093408E-2</c:v>
                </c:pt>
                <c:pt idx="26">
                  <c:v>2.3737581689768566E-2</c:v>
                </c:pt>
                <c:pt idx="27">
                  <c:v>2.198835956626018E-2</c:v>
                </c:pt>
                <c:pt idx="28">
                  <c:v>2.0950865341706496E-2</c:v>
                </c:pt>
              </c:numCache>
              <c:extLst/>
            </c:numRef>
          </c:val>
          <c:smooth val="0"/>
          <c:extLst>
            <c:ext xmlns:c16="http://schemas.microsoft.com/office/drawing/2014/chart" uri="{C3380CC4-5D6E-409C-BE32-E72D297353CC}">
              <c16:uniqueId val="{00000001-7C3F-4604-9E28-690BD103597E}"/>
            </c:ext>
          </c:extLst>
        </c:ser>
        <c:ser>
          <c:idx val="3"/>
          <c:order val="3"/>
          <c:tx>
            <c:strRef>
              <c:f>'La Araucana'!$C$42</c:f>
              <c:strCache>
                <c:ptCount val="1"/>
                <c:pt idx="0">
                  <c:v>61-90</c:v>
                </c:pt>
              </c:strCache>
            </c:strRef>
          </c:tx>
          <c:spPr>
            <a:ln w="28575" cap="rnd">
              <a:solidFill>
                <a:srgbClr val="868889"/>
              </a:solidFill>
              <a:round/>
            </a:ln>
            <a:effectLst/>
          </c:spPr>
          <c:marker>
            <c:symbol val="none"/>
          </c:marker>
          <c:cat>
            <c:numRef>
              <c:f>'La Araucana'!$I$3:$AK$3</c:f>
              <c:numCache>
                <c:formatCode>mmm\-yy</c:formatCode>
                <c:ptCount val="29"/>
                <c:pt idx="0">
                  <c:v>42064</c:v>
                </c:pt>
                <c:pt idx="1">
                  <c:v>42156</c:v>
                </c:pt>
                <c:pt idx="2">
                  <c:v>42248</c:v>
                </c:pt>
                <c:pt idx="3">
                  <c:v>42339</c:v>
                </c:pt>
                <c:pt idx="4">
                  <c:v>42430</c:v>
                </c:pt>
                <c:pt idx="5">
                  <c:v>42522</c:v>
                </c:pt>
                <c:pt idx="6">
                  <c:v>42614</c:v>
                </c:pt>
                <c:pt idx="7">
                  <c:v>42705</c:v>
                </c:pt>
                <c:pt idx="8">
                  <c:v>42795</c:v>
                </c:pt>
                <c:pt idx="9">
                  <c:v>42887</c:v>
                </c:pt>
                <c:pt idx="10">
                  <c:v>42979</c:v>
                </c:pt>
                <c:pt idx="11">
                  <c:v>43070</c:v>
                </c:pt>
                <c:pt idx="12">
                  <c:v>43160</c:v>
                </c:pt>
                <c:pt idx="13">
                  <c:v>43252</c:v>
                </c:pt>
                <c:pt idx="14">
                  <c:v>43344</c:v>
                </c:pt>
                <c:pt idx="15">
                  <c:v>43435</c:v>
                </c:pt>
                <c:pt idx="16">
                  <c:v>43525</c:v>
                </c:pt>
                <c:pt idx="17">
                  <c:v>43617</c:v>
                </c:pt>
                <c:pt idx="18">
                  <c:v>43709</c:v>
                </c:pt>
                <c:pt idx="19">
                  <c:v>43800</c:v>
                </c:pt>
                <c:pt idx="20">
                  <c:v>43891</c:v>
                </c:pt>
                <c:pt idx="21">
                  <c:v>43983</c:v>
                </c:pt>
                <c:pt idx="22">
                  <c:v>44075</c:v>
                </c:pt>
                <c:pt idx="23">
                  <c:v>44166</c:v>
                </c:pt>
                <c:pt idx="24">
                  <c:v>44256</c:v>
                </c:pt>
                <c:pt idx="25">
                  <c:v>44348</c:v>
                </c:pt>
                <c:pt idx="26">
                  <c:v>44440</c:v>
                </c:pt>
                <c:pt idx="27">
                  <c:v>44531</c:v>
                </c:pt>
                <c:pt idx="28">
                  <c:v>44621</c:v>
                </c:pt>
              </c:numCache>
              <c:extLst/>
            </c:numRef>
          </c:cat>
          <c:val>
            <c:numRef>
              <c:f>'La Araucana'!$I$42:$AK$42</c:f>
              <c:numCache>
                <c:formatCode>0.0%</c:formatCode>
                <c:ptCount val="29"/>
                <c:pt idx="0">
                  <c:v>1.3478065572123115E-2</c:v>
                </c:pt>
                <c:pt idx="1">
                  <c:v>1.3792685839208674E-2</c:v>
                </c:pt>
                <c:pt idx="2">
                  <c:v>1.6253564570474693E-2</c:v>
                </c:pt>
                <c:pt idx="3">
                  <c:v>2.3393658516336301E-2</c:v>
                </c:pt>
                <c:pt idx="4">
                  <c:v>1.9638170427708639E-2</c:v>
                </c:pt>
                <c:pt idx="5">
                  <c:v>2.0517238670179839E-2</c:v>
                </c:pt>
                <c:pt idx="6">
                  <c:v>1.7340531091767489E-2</c:v>
                </c:pt>
                <c:pt idx="7">
                  <c:v>1.5514185510446445E-2</c:v>
                </c:pt>
                <c:pt idx="8">
                  <c:v>1.583858435752691E-2</c:v>
                </c:pt>
                <c:pt idx="9">
                  <c:v>1.7937265138257934E-2</c:v>
                </c:pt>
                <c:pt idx="10">
                  <c:v>1.6391907497287746E-2</c:v>
                </c:pt>
                <c:pt idx="11">
                  <c:v>1.5092577528154304E-2</c:v>
                </c:pt>
                <c:pt idx="12">
                  <c:v>1.4954370673996735E-2</c:v>
                </c:pt>
                <c:pt idx="13">
                  <c:v>1.6866075702791614E-2</c:v>
                </c:pt>
                <c:pt idx="14">
                  <c:v>1.521110922856196E-2</c:v>
                </c:pt>
                <c:pt idx="15">
                  <c:v>1.5028537158830048E-2</c:v>
                </c:pt>
                <c:pt idx="16">
                  <c:v>1.5291017844826487E-2</c:v>
                </c:pt>
                <c:pt idx="17">
                  <c:v>1.6153250116520676E-2</c:v>
                </c:pt>
                <c:pt idx="18">
                  <c:v>1.4440409101794673E-2</c:v>
                </c:pt>
                <c:pt idx="19">
                  <c:v>1.5307731359090049E-2</c:v>
                </c:pt>
                <c:pt idx="20">
                  <c:v>1.5724681260245378E-2</c:v>
                </c:pt>
                <c:pt idx="21">
                  <c:v>2.0469071283122822E-2</c:v>
                </c:pt>
                <c:pt idx="22">
                  <c:v>1.5967527747911256E-2</c:v>
                </c:pt>
                <c:pt idx="23">
                  <c:v>1.4710163630340637E-2</c:v>
                </c:pt>
                <c:pt idx="24">
                  <c:v>1.5985853702338085E-2</c:v>
                </c:pt>
                <c:pt idx="25">
                  <c:v>1.845266684526602E-2</c:v>
                </c:pt>
                <c:pt idx="26">
                  <c:v>1.6481058012895653E-2</c:v>
                </c:pt>
                <c:pt idx="27">
                  <c:v>1.5660487076324014E-2</c:v>
                </c:pt>
                <c:pt idx="28">
                  <c:v>1.4473848555500223E-2</c:v>
                </c:pt>
              </c:numCache>
              <c:extLst/>
            </c:numRef>
          </c:val>
          <c:smooth val="0"/>
          <c:extLst>
            <c:ext xmlns:c16="http://schemas.microsoft.com/office/drawing/2014/chart" uri="{C3380CC4-5D6E-409C-BE32-E72D297353CC}">
              <c16:uniqueId val="{00000002-7C3F-4604-9E28-690BD103597E}"/>
            </c:ext>
          </c:extLst>
        </c:ser>
        <c:ser>
          <c:idx val="4"/>
          <c:order val="4"/>
          <c:tx>
            <c:strRef>
              <c:f>'La Araucana'!$C$43</c:f>
              <c:strCache>
                <c:ptCount val="1"/>
                <c:pt idx="0">
                  <c:v>91-120</c:v>
                </c:pt>
              </c:strCache>
            </c:strRef>
          </c:tx>
          <c:spPr>
            <a:ln w="28575" cap="rnd">
              <a:solidFill>
                <a:srgbClr val="46AC46"/>
              </a:solidFill>
              <a:round/>
            </a:ln>
            <a:effectLst/>
          </c:spPr>
          <c:marker>
            <c:symbol val="none"/>
          </c:marker>
          <c:cat>
            <c:numRef>
              <c:f>'La Araucana'!$I$3:$AK$3</c:f>
              <c:numCache>
                <c:formatCode>mmm\-yy</c:formatCode>
                <c:ptCount val="29"/>
                <c:pt idx="0">
                  <c:v>42064</c:v>
                </c:pt>
                <c:pt idx="1">
                  <c:v>42156</c:v>
                </c:pt>
                <c:pt idx="2">
                  <c:v>42248</c:v>
                </c:pt>
                <c:pt idx="3">
                  <c:v>42339</c:v>
                </c:pt>
                <c:pt idx="4">
                  <c:v>42430</c:v>
                </c:pt>
                <c:pt idx="5">
                  <c:v>42522</c:v>
                </c:pt>
                <c:pt idx="6">
                  <c:v>42614</c:v>
                </c:pt>
                <c:pt idx="7">
                  <c:v>42705</c:v>
                </c:pt>
                <c:pt idx="8">
                  <c:v>42795</c:v>
                </c:pt>
                <c:pt idx="9">
                  <c:v>42887</c:v>
                </c:pt>
                <c:pt idx="10">
                  <c:v>42979</c:v>
                </c:pt>
                <c:pt idx="11">
                  <c:v>43070</c:v>
                </c:pt>
                <c:pt idx="12">
                  <c:v>43160</c:v>
                </c:pt>
                <c:pt idx="13">
                  <c:v>43252</c:v>
                </c:pt>
                <c:pt idx="14">
                  <c:v>43344</c:v>
                </c:pt>
                <c:pt idx="15">
                  <c:v>43435</c:v>
                </c:pt>
                <c:pt idx="16">
                  <c:v>43525</c:v>
                </c:pt>
                <c:pt idx="17">
                  <c:v>43617</c:v>
                </c:pt>
                <c:pt idx="18">
                  <c:v>43709</c:v>
                </c:pt>
                <c:pt idx="19">
                  <c:v>43800</c:v>
                </c:pt>
                <c:pt idx="20">
                  <c:v>43891</c:v>
                </c:pt>
                <c:pt idx="21">
                  <c:v>43983</c:v>
                </c:pt>
                <c:pt idx="22">
                  <c:v>44075</c:v>
                </c:pt>
                <c:pt idx="23">
                  <c:v>44166</c:v>
                </c:pt>
                <c:pt idx="24">
                  <c:v>44256</c:v>
                </c:pt>
                <c:pt idx="25">
                  <c:v>44348</c:v>
                </c:pt>
                <c:pt idx="26">
                  <c:v>44440</c:v>
                </c:pt>
                <c:pt idx="27">
                  <c:v>44531</c:v>
                </c:pt>
                <c:pt idx="28">
                  <c:v>44621</c:v>
                </c:pt>
              </c:numCache>
              <c:extLst/>
            </c:numRef>
          </c:cat>
          <c:val>
            <c:numRef>
              <c:f>'La Araucana'!$I$43:$AK$43</c:f>
              <c:numCache>
                <c:formatCode>0.0%</c:formatCode>
                <c:ptCount val="29"/>
                <c:pt idx="0">
                  <c:v>1.0184624017598277E-2</c:v>
                </c:pt>
                <c:pt idx="1">
                  <c:v>1.1069912939260287E-2</c:v>
                </c:pt>
                <c:pt idx="2">
                  <c:v>1.1141674514794924E-2</c:v>
                </c:pt>
                <c:pt idx="3">
                  <c:v>1.9194929503008107E-2</c:v>
                </c:pt>
                <c:pt idx="4">
                  <c:v>1.7759209042236254E-2</c:v>
                </c:pt>
                <c:pt idx="5">
                  <c:v>1.6691879995377693E-2</c:v>
                </c:pt>
                <c:pt idx="6">
                  <c:v>1.3624051622285751E-2</c:v>
                </c:pt>
                <c:pt idx="7">
                  <c:v>1.306574639274114E-2</c:v>
                </c:pt>
                <c:pt idx="8">
                  <c:v>1.2619928344701038E-2</c:v>
                </c:pt>
                <c:pt idx="9">
                  <c:v>1.3360030580067678E-2</c:v>
                </c:pt>
                <c:pt idx="10">
                  <c:v>1.4150152037563334E-2</c:v>
                </c:pt>
                <c:pt idx="11">
                  <c:v>1.2660017927621309E-2</c:v>
                </c:pt>
                <c:pt idx="12">
                  <c:v>1.0825859746125077E-2</c:v>
                </c:pt>
                <c:pt idx="13">
                  <c:v>1.2587639441682246E-2</c:v>
                </c:pt>
                <c:pt idx="14">
                  <c:v>1.2609933413058211E-2</c:v>
                </c:pt>
                <c:pt idx="15">
                  <c:v>1.1785218431751843E-2</c:v>
                </c:pt>
                <c:pt idx="16">
                  <c:v>1.2336039430247253E-2</c:v>
                </c:pt>
                <c:pt idx="17">
                  <c:v>1.2408303537198876E-2</c:v>
                </c:pt>
                <c:pt idx="18">
                  <c:v>1.1884038190479698E-2</c:v>
                </c:pt>
                <c:pt idx="19">
                  <c:v>1.2048752078322782E-2</c:v>
                </c:pt>
                <c:pt idx="20">
                  <c:v>1.0991988562626863E-2</c:v>
                </c:pt>
                <c:pt idx="21">
                  <c:v>1.4236933987310296E-2</c:v>
                </c:pt>
                <c:pt idx="22">
                  <c:v>1.287216414245969E-2</c:v>
                </c:pt>
                <c:pt idx="23">
                  <c:v>1.2000171393471532E-2</c:v>
                </c:pt>
                <c:pt idx="24">
                  <c:v>1.2294794423766315E-2</c:v>
                </c:pt>
                <c:pt idx="25">
                  <c:v>1.277614063256957E-2</c:v>
                </c:pt>
                <c:pt idx="26">
                  <c:v>1.3402803789188369E-2</c:v>
                </c:pt>
                <c:pt idx="27">
                  <c:v>1.2984466174017367E-2</c:v>
                </c:pt>
                <c:pt idx="28">
                  <c:v>1.3297295618533921E-2</c:v>
                </c:pt>
              </c:numCache>
              <c:extLst/>
            </c:numRef>
          </c:val>
          <c:smooth val="0"/>
          <c:extLst>
            <c:ext xmlns:c16="http://schemas.microsoft.com/office/drawing/2014/chart" uri="{C3380CC4-5D6E-409C-BE32-E72D297353CC}">
              <c16:uniqueId val="{00000003-7C3F-4604-9E28-690BD103597E}"/>
            </c:ext>
          </c:extLst>
        </c:ser>
        <c:ser>
          <c:idx val="5"/>
          <c:order val="5"/>
          <c:tx>
            <c:strRef>
              <c:f>'La Araucana'!$C$44</c:f>
              <c:strCache>
                <c:ptCount val="1"/>
                <c:pt idx="0">
                  <c:v>121-150</c:v>
                </c:pt>
              </c:strCache>
            </c:strRef>
          </c:tx>
          <c:spPr>
            <a:ln w="28575" cap="rnd">
              <a:solidFill>
                <a:srgbClr val="F8DC3B"/>
              </a:solidFill>
              <a:round/>
            </a:ln>
            <a:effectLst/>
          </c:spPr>
          <c:marker>
            <c:symbol val="none"/>
          </c:marker>
          <c:cat>
            <c:numRef>
              <c:f>'La Araucana'!$I$3:$AK$3</c:f>
              <c:numCache>
                <c:formatCode>mmm\-yy</c:formatCode>
                <c:ptCount val="29"/>
                <c:pt idx="0">
                  <c:v>42064</c:v>
                </c:pt>
                <c:pt idx="1">
                  <c:v>42156</c:v>
                </c:pt>
                <c:pt idx="2">
                  <c:v>42248</c:v>
                </c:pt>
                <c:pt idx="3">
                  <c:v>42339</c:v>
                </c:pt>
                <c:pt idx="4">
                  <c:v>42430</c:v>
                </c:pt>
                <c:pt idx="5">
                  <c:v>42522</c:v>
                </c:pt>
                <c:pt idx="6">
                  <c:v>42614</c:v>
                </c:pt>
                <c:pt idx="7">
                  <c:v>42705</c:v>
                </c:pt>
                <c:pt idx="8">
                  <c:v>42795</c:v>
                </c:pt>
                <c:pt idx="9">
                  <c:v>42887</c:v>
                </c:pt>
                <c:pt idx="10">
                  <c:v>42979</c:v>
                </c:pt>
                <c:pt idx="11">
                  <c:v>43070</c:v>
                </c:pt>
                <c:pt idx="12">
                  <c:v>43160</c:v>
                </c:pt>
                <c:pt idx="13">
                  <c:v>43252</c:v>
                </c:pt>
                <c:pt idx="14">
                  <c:v>43344</c:v>
                </c:pt>
                <c:pt idx="15">
                  <c:v>43435</c:v>
                </c:pt>
                <c:pt idx="16">
                  <c:v>43525</c:v>
                </c:pt>
                <c:pt idx="17">
                  <c:v>43617</c:v>
                </c:pt>
                <c:pt idx="18">
                  <c:v>43709</c:v>
                </c:pt>
                <c:pt idx="19">
                  <c:v>43800</c:v>
                </c:pt>
                <c:pt idx="20">
                  <c:v>43891</c:v>
                </c:pt>
                <c:pt idx="21">
                  <c:v>43983</c:v>
                </c:pt>
                <c:pt idx="22">
                  <c:v>44075</c:v>
                </c:pt>
                <c:pt idx="23">
                  <c:v>44166</c:v>
                </c:pt>
                <c:pt idx="24">
                  <c:v>44256</c:v>
                </c:pt>
                <c:pt idx="25">
                  <c:v>44348</c:v>
                </c:pt>
                <c:pt idx="26">
                  <c:v>44440</c:v>
                </c:pt>
                <c:pt idx="27">
                  <c:v>44531</c:v>
                </c:pt>
                <c:pt idx="28">
                  <c:v>44621</c:v>
                </c:pt>
              </c:numCache>
              <c:extLst/>
            </c:numRef>
          </c:cat>
          <c:val>
            <c:numRef>
              <c:f>'La Araucana'!$I$44:$AK$44</c:f>
              <c:numCache>
                <c:formatCode>0.0%</c:formatCode>
                <c:ptCount val="29"/>
                <c:pt idx="0">
                  <c:v>9.8316641028571173E-3</c:v>
                </c:pt>
                <c:pt idx="1">
                  <c:v>9.3830435451805298E-3</c:v>
                </c:pt>
                <c:pt idx="2">
                  <c:v>1.046916594268125E-2</c:v>
                </c:pt>
                <c:pt idx="3">
                  <c:v>1.6164907397121678E-2</c:v>
                </c:pt>
                <c:pt idx="4">
                  <c:v>1.6418682952959722E-2</c:v>
                </c:pt>
                <c:pt idx="5">
                  <c:v>1.4820213441024847E-2</c:v>
                </c:pt>
                <c:pt idx="6">
                  <c:v>1.3877200129167313E-2</c:v>
                </c:pt>
                <c:pt idx="7">
                  <c:v>1.2013623844496332E-2</c:v>
                </c:pt>
                <c:pt idx="8">
                  <c:v>1.1040662549502166E-2</c:v>
                </c:pt>
                <c:pt idx="9">
                  <c:v>1.3395300108151788E-2</c:v>
                </c:pt>
                <c:pt idx="10">
                  <c:v>1.3174989137129734E-2</c:v>
                </c:pt>
                <c:pt idx="11">
                  <c:v>1.0402207556249016E-2</c:v>
                </c:pt>
                <c:pt idx="12">
                  <c:v>9.4605848940933438E-3</c:v>
                </c:pt>
                <c:pt idx="13">
                  <c:v>1.0916532822437543E-2</c:v>
                </c:pt>
                <c:pt idx="14">
                  <c:v>1.2319613760252982E-2</c:v>
                </c:pt>
                <c:pt idx="15">
                  <c:v>9.9173878450163604E-3</c:v>
                </c:pt>
                <c:pt idx="16">
                  <c:v>9.8193985060706195E-3</c:v>
                </c:pt>
                <c:pt idx="17">
                  <c:v>1.1696471183905951E-2</c:v>
                </c:pt>
                <c:pt idx="18">
                  <c:v>1.0698490874002804E-2</c:v>
                </c:pt>
                <c:pt idx="19">
                  <c:v>9.9712320634331528E-3</c:v>
                </c:pt>
                <c:pt idx="20">
                  <c:v>1.111149794974786E-2</c:v>
                </c:pt>
                <c:pt idx="21">
                  <c:v>1.297451351225082E-2</c:v>
                </c:pt>
                <c:pt idx="22">
                  <c:v>1.2052950046695227E-2</c:v>
                </c:pt>
                <c:pt idx="23">
                  <c:v>1.0715577576459502E-2</c:v>
                </c:pt>
                <c:pt idx="24">
                  <c:v>1.0690229535330796E-2</c:v>
                </c:pt>
                <c:pt idx="25">
                  <c:v>1.242354404028187E-2</c:v>
                </c:pt>
                <c:pt idx="26">
                  <c:v>1.246807236793099E-2</c:v>
                </c:pt>
                <c:pt idx="27">
                  <c:v>1.1246051585867365E-2</c:v>
                </c:pt>
                <c:pt idx="28">
                  <c:v>1.082607162567396E-2</c:v>
                </c:pt>
              </c:numCache>
              <c:extLst/>
            </c:numRef>
          </c:val>
          <c:smooth val="0"/>
          <c:extLst>
            <c:ext xmlns:c16="http://schemas.microsoft.com/office/drawing/2014/chart" uri="{C3380CC4-5D6E-409C-BE32-E72D297353CC}">
              <c16:uniqueId val="{00000004-7C3F-4604-9E28-690BD103597E}"/>
            </c:ext>
          </c:extLst>
        </c:ser>
        <c:ser>
          <c:idx val="6"/>
          <c:order val="6"/>
          <c:tx>
            <c:strRef>
              <c:f>'La Araucana'!$C$45</c:f>
              <c:strCache>
                <c:ptCount val="1"/>
                <c:pt idx="0">
                  <c:v>151-180</c:v>
                </c:pt>
              </c:strCache>
            </c:strRef>
          </c:tx>
          <c:spPr>
            <a:ln w="28575" cap="rnd">
              <a:solidFill>
                <a:srgbClr val="E32834"/>
              </a:solidFill>
              <a:round/>
            </a:ln>
            <a:effectLst/>
          </c:spPr>
          <c:marker>
            <c:symbol val="none"/>
          </c:marker>
          <c:cat>
            <c:numRef>
              <c:f>'La Araucana'!$I$3:$AK$3</c:f>
              <c:numCache>
                <c:formatCode>mmm\-yy</c:formatCode>
                <c:ptCount val="29"/>
                <c:pt idx="0">
                  <c:v>42064</c:v>
                </c:pt>
                <c:pt idx="1">
                  <c:v>42156</c:v>
                </c:pt>
                <c:pt idx="2">
                  <c:v>42248</c:v>
                </c:pt>
                <c:pt idx="3">
                  <c:v>42339</c:v>
                </c:pt>
                <c:pt idx="4">
                  <c:v>42430</c:v>
                </c:pt>
                <c:pt idx="5">
                  <c:v>42522</c:v>
                </c:pt>
                <c:pt idx="6">
                  <c:v>42614</c:v>
                </c:pt>
                <c:pt idx="7">
                  <c:v>42705</c:v>
                </c:pt>
                <c:pt idx="8">
                  <c:v>42795</c:v>
                </c:pt>
                <c:pt idx="9">
                  <c:v>42887</c:v>
                </c:pt>
                <c:pt idx="10">
                  <c:v>42979</c:v>
                </c:pt>
                <c:pt idx="11">
                  <c:v>43070</c:v>
                </c:pt>
                <c:pt idx="12">
                  <c:v>43160</c:v>
                </c:pt>
                <c:pt idx="13">
                  <c:v>43252</c:v>
                </c:pt>
                <c:pt idx="14">
                  <c:v>43344</c:v>
                </c:pt>
                <c:pt idx="15">
                  <c:v>43435</c:v>
                </c:pt>
                <c:pt idx="16">
                  <c:v>43525</c:v>
                </c:pt>
                <c:pt idx="17">
                  <c:v>43617</c:v>
                </c:pt>
                <c:pt idx="18">
                  <c:v>43709</c:v>
                </c:pt>
                <c:pt idx="19">
                  <c:v>43800</c:v>
                </c:pt>
                <c:pt idx="20">
                  <c:v>43891</c:v>
                </c:pt>
                <c:pt idx="21">
                  <c:v>43983</c:v>
                </c:pt>
                <c:pt idx="22">
                  <c:v>44075</c:v>
                </c:pt>
                <c:pt idx="23">
                  <c:v>44166</c:v>
                </c:pt>
                <c:pt idx="24">
                  <c:v>44256</c:v>
                </c:pt>
                <c:pt idx="25">
                  <c:v>44348</c:v>
                </c:pt>
                <c:pt idx="26">
                  <c:v>44440</c:v>
                </c:pt>
                <c:pt idx="27">
                  <c:v>44531</c:v>
                </c:pt>
                <c:pt idx="28">
                  <c:v>44621</c:v>
                </c:pt>
              </c:numCache>
              <c:extLst/>
            </c:numRef>
          </c:cat>
          <c:val>
            <c:numRef>
              <c:f>'La Araucana'!$I$45:$AK$45</c:f>
              <c:numCache>
                <c:formatCode>0.0%</c:formatCode>
                <c:ptCount val="29"/>
                <c:pt idx="0">
                  <c:v>8.0891489678839995E-3</c:v>
                </c:pt>
                <c:pt idx="1">
                  <c:v>7.8509695743083467E-3</c:v>
                </c:pt>
                <c:pt idx="2">
                  <c:v>1.0792170479945762E-2</c:v>
                </c:pt>
                <c:pt idx="3">
                  <c:v>1.5649377066165815E-2</c:v>
                </c:pt>
                <c:pt idx="4">
                  <c:v>1.4864761346335202E-2</c:v>
                </c:pt>
                <c:pt idx="5">
                  <c:v>1.4792731702450226E-2</c:v>
                </c:pt>
                <c:pt idx="6">
                  <c:v>1.3879735711869781E-2</c:v>
                </c:pt>
                <c:pt idx="7">
                  <c:v>1.203979169624784E-2</c:v>
                </c:pt>
                <c:pt idx="8">
                  <c:v>1.1218252481039945E-2</c:v>
                </c:pt>
                <c:pt idx="9">
                  <c:v>1.0814851280570839E-2</c:v>
                </c:pt>
                <c:pt idx="10">
                  <c:v>1.260089257027977E-2</c:v>
                </c:pt>
                <c:pt idx="11">
                  <c:v>1.0131162222806314E-2</c:v>
                </c:pt>
                <c:pt idx="12">
                  <c:v>9.4516042734787628E-3</c:v>
                </c:pt>
                <c:pt idx="13">
                  <c:v>8.8975537164751699E-3</c:v>
                </c:pt>
                <c:pt idx="14">
                  <c:v>1.0154332796036832E-2</c:v>
                </c:pt>
                <c:pt idx="15">
                  <c:v>9.2120346301911727E-3</c:v>
                </c:pt>
                <c:pt idx="16">
                  <c:v>8.6684016584541047E-3</c:v>
                </c:pt>
                <c:pt idx="17">
                  <c:v>9.5789971062635038E-3</c:v>
                </c:pt>
                <c:pt idx="18">
                  <c:v>9.8669868701550568E-3</c:v>
                </c:pt>
                <c:pt idx="19">
                  <c:v>9.5518323000786647E-3</c:v>
                </c:pt>
                <c:pt idx="20">
                  <c:v>9.8542686978887756E-3</c:v>
                </c:pt>
                <c:pt idx="21">
                  <c:v>1.1081314444266015E-2</c:v>
                </c:pt>
                <c:pt idx="22">
                  <c:v>1.2327988705544128E-2</c:v>
                </c:pt>
                <c:pt idx="23">
                  <c:v>8.7332764358104848E-3</c:v>
                </c:pt>
                <c:pt idx="24">
                  <c:v>8.2749455013925322E-3</c:v>
                </c:pt>
                <c:pt idx="25">
                  <c:v>1.0337723278232127E-2</c:v>
                </c:pt>
                <c:pt idx="26">
                  <c:v>1.1011116142266787E-2</c:v>
                </c:pt>
                <c:pt idx="27">
                  <c:v>9.4662319277786962E-3</c:v>
                </c:pt>
                <c:pt idx="28">
                  <c:v>9.0149361179917339E-3</c:v>
                </c:pt>
              </c:numCache>
              <c:extLst/>
            </c:numRef>
          </c:val>
          <c:smooth val="0"/>
          <c:extLst>
            <c:ext xmlns:c16="http://schemas.microsoft.com/office/drawing/2014/chart" uri="{C3380CC4-5D6E-409C-BE32-E72D297353CC}">
              <c16:uniqueId val="{00000005-7C3F-4604-9E28-690BD103597E}"/>
            </c:ext>
          </c:extLst>
        </c:ser>
        <c:ser>
          <c:idx val="7"/>
          <c:order val="7"/>
          <c:tx>
            <c:strRef>
              <c:f>'La Araucana'!$C$46</c:f>
              <c:strCache>
                <c:ptCount val="1"/>
                <c:pt idx="0">
                  <c:v>180 o más </c:v>
                </c:pt>
              </c:strCache>
            </c:strRef>
          </c:tx>
          <c:spPr>
            <a:ln w="28575" cap="rnd">
              <a:solidFill>
                <a:srgbClr val="7586BE"/>
              </a:solidFill>
              <a:round/>
            </a:ln>
            <a:effectLst/>
          </c:spPr>
          <c:marker>
            <c:symbol val="none"/>
          </c:marker>
          <c:cat>
            <c:numRef>
              <c:f>'La Araucana'!$I$3:$AK$3</c:f>
              <c:numCache>
                <c:formatCode>mmm\-yy</c:formatCode>
                <c:ptCount val="29"/>
                <c:pt idx="0">
                  <c:v>42064</c:v>
                </c:pt>
                <c:pt idx="1">
                  <c:v>42156</c:v>
                </c:pt>
                <c:pt idx="2">
                  <c:v>42248</c:v>
                </c:pt>
                <c:pt idx="3">
                  <c:v>42339</c:v>
                </c:pt>
                <c:pt idx="4">
                  <c:v>42430</c:v>
                </c:pt>
                <c:pt idx="5">
                  <c:v>42522</c:v>
                </c:pt>
                <c:pt idx="6">
                  <c:v>42614</c:v>
                </c:pt>
                <c:pt idx="7">
                  <c:v>42705</c:v>
                </c:pt>
                <c:pt idx="8">
                  <c:v>42795</c:v>
                </c:pt>
                <c:pt idx="9">
                  <c:v>42887</c:v>
                </c:pt>
                <c:pt idx="10">
                  <c:v>42979</c:v>
                </c:pt>
                <c:pt idx="11">
                  <c:v>43070</c:v>
                </c:pt>
                <c:pt idx="12">
                  <c:v>43160</c:v>
                </c:pt>
                <c:pt idx="13">
                  <c:v>43252</c:v>
                </c:pt>
                <c:pt idx="14">
                  <c:v>43344</c:v>
                </c:pt>
                <c:pt idx="15">
                  <c:v>43435</c:v>
                </c:pt>
                <c:pt idx="16">
                  <c:v>43525</c:v>
                </c:pt>
                <c:pt idx="17">
                  <c:v>43617</c:v>
                </c:pt>
                <c:pt idx="18">
                  <c:v>43709</c:v>
                </c:pt>
                <c:pt idx="19">
                  <c:v>43800</c:v>
                </c:pt>
                <c:pt idx="20">
                  <c:v>43891</c:v>
                </c:pt>
                <c:pt idx="21">
                  <c:v>43983</c:v>
                </c:pt>
                <c:pt idx="22">
                  <c:v>44075</c:v>
                </c:pt>
                <c:pt idx="23">
                  <c:v>44166</c:v>
                </c:pt>
                <c:pt idx="24">
                  <c:v>44256</c:v>
                </c:pt>
                <c:pt idx="25">
                  <c:v>44348</c:v>
                </c:pt>
                <c:pt idx="26">
                  <c:v>44440</c:v>
                </c:pt>
                <c:pt idx="27">
                  <c:v>44531</c:v>
                </c:pt>
                <c:pt idx="28">
                  <c:v>44621</c:v>
                </c:pt>
              </c:numCache>
              <c:extLst/>
            </c:numRef>
          </c:cat>
          <c:val>
            <c:numRef>
              <c:f>'La Araucana'!$I$46:$AK$46</c:f>
              <c:numCache>
                <c:formatCode>0.0%</c:formatCode>
                <c:ptCount val="29"/>
                <c:pt idx="0">
                  <c:v>3.6724522153750806E-2</c:v>
                </c:pt>
                <c:pt idx="1">
                  <c:v>4.5118910326304162E-2</c:v>
                </c:pt>
                <c:pt idx="2">
                  <c:v>4.4861969694881709E-2</c:v>
                </c:pt>
                <c:pt idx="3">
                  <c:v>7.0058193677119338E-2</c:v>
                </c:pt>
                <c:pt idx="4">
                  <c:v>8.2086453298717665E-2</c:v>
                </c:pt>
                <c:pt idx="5">
                  <c:v>8.0027715148759795E-2</c:v>
                </c:pt>
                <c:pt idx="6">
                  <c:v>7.3743165762401877E-2</c:v>
                </c:pt>
                <c:pt idx="7">
                  <c:v>6.715420130189094E-2</c:v>
                </c:pt>
                <c:pt idx="8">
                  <c:v>6.1789695756191719E-2</c:v>
                </c:pt>
                <c:pt idx="9">
                  <c:v>5.5681693319672321E-2</c:v>
                </c:pt>
                <c:pt idx="10">
                  <c:v>5.9797026105908382E-2</c:v>
                </c:pt>
                <c:pt idx="11">
                  <c:v>5.6507679225612256E-2</c:v>
                </c:pt>
                <c:pt idx="12">
                  <c:v>5.1946043152339631E-2</c:v>
                </c:pt>
                <c:pt idx="13">
                  <c:v>4.6521803583860225E-2</c:v>
                </c:pt>
                <c:pt idx="14">
                  <c:v>4.2069836485163957E-2</c:v>
                </c:pt>
                <c:pt idx="15">
                  <c:v>4.3606296732516654E-2</c:v>
                </c:pt>
                <c:pt idx="16">
                  <c:v>4.358927552383448E-2</c:v>
                </c:pt>
                <c:pt idx="17">
                  <c:v>4.2124878868793805E-2</c:v>
                </c:pt>
                <c:pt idx="18">
                  <c:v>4.4329206366310561E-2</c:v>
                </c:pt>
                <c:pt idx="19">
                  <c:v>4.5610032543530306E-2</c:v>
                </c:pt>
                <c:pt idx="20">
                  <c:v>4.5756435759462269E-2</c:v>
                </c:pt>
                <c:pt idx="21">
                  <c:v>4.9806505535738517E-2</c:v>
                </c:pt>
                <c:pt idx="22">
                  <c:v>5.4859643209063752E-2</c:v>
                </c:pt>
                <c:pt idx="23">
                  <c:v>5.4293773301400061E-2</c:v>
                </c:pt>
                <c:pt idx="24">
                  <c:v>4.9594846781957511E-2</c:v>
                </c:pt>
                <c:pt idx="25">
                  <c:v>4.731088632174435E-2</c:v>
                </c:pt>
                <c:pt idx="26">
                  <c:v>5.0149548730239517E-2</c:v>
                </c:pt>
                <c:pt idx="27">
                  <c:v>5.0860510584802156E-2</c:v>
                </c:pt>
                <c:pt idx="28">
                  <c:v>4.7821780757465029E-2</c:v>
                </c:pt>
              </c:numCache>
              <c:extLst/>
            </c:numRef>
          </c:val>
          <c:smooth val="0"/>
          <c:extLst>
            <c:ext xmlns:c16="http://schemas.microsoft.com/office/drawing/2014/chart" uri="{C3380CC4-5D6E-409C-BE32-E72D297353CC}">
              <c16:uniqueId val="{00000006-7C3F-4604-9E28-690BD103597E}"/>
            </c:ext>
          </c:extLst>
        </c:ser>
        <c:dLbls>
          <c:showLegendKey val="0"/>
          <c:showVal val="0"/>
          <c:showCatName val="0"/>
          <c:showSerName val="0"/>
          <c:showPercent val="0"/>
          <c:showBubbleSize val="0"/>
        </c:dLbls>
        <c:marker val="1"/>
        <c:smooth val="0"/>
        <c:axId val="653969472"/>
        <c:axId val="653912400"/>
      </c:lineChart>
      <c:lineChart>
        <c:grouping val="standard"/>
        <c:varyColors val="0"/>
        <c:ser>
          <c:idx val="0"/>
          <c:order val="0"/>
          <c:tx>
            <c:strRef>
              <c:f>'La Araucana'!$C$39</c:f>
              <c:strCache>
                <c:ptCount val="1"/>
                <c:pt idx="0">
                  <c:v>al día (eje derecho)</c:v>
                </c:pt>
              </c:strCache>
            </c:strRef>
          </c:tx>
          <c:spPr>
            <a:ln w="28575" cap="rnd">
              <a:solidFill>
                <a:srgbClr val="E6344B"/>
              </a:solidFill>
              <a:prstDash val="sysDot"/>
              <a:round/>
            </a:ln>
            <a:effectLst/>
          </c:spPr>
          <c:marker>
            <c:symbol val="none"/>
          </c:marker>
          <c:cat>
            <c:numRef>
              <c:f>'La Araucana'!$I$3:$AK$3</c:f>
              <c:numCache>
                <c:formatCode>mmm\-yy</c:formatCode>
                <c:ptCount val="29"/>
                <c:pt idx="0">
                  <c:v>42064</c:v>
                </c:pt>
                <c:pt idx="1">
                  <c:v>42156</c:v>
                </c:pt>
                <c:pt idx="2">
                  <c:v>42248</c:v>
                </c:pt>
                <c:pt idx="3">
                  <c:v>42339</c:v>
                </c:pt>
                <c:pt idx="4">
                  <c:v>42430</c:v>
                </c:pt>
                <c:pt idx="5">
                  <c:v>42522</c:v>
                </c:pt>
                <c:pt idx="6">
                  <c:v>42614</c:v>
                </c:pt>
                <c:pt idx="7">
                  <c:v>42705</c:v>
                </c:pt>
                <c:pt idx="8">
                  <c:v>42795</c:v>
                </c:pt>
                <c:pt idx="9">
                  <c:v>42887</c:v>
                </c:pt>
                <c:pt idx="10">
                  <c:v>42979</c:v>
                </c:pt>
                <c:pt idx="11">
                  <c:v>43070</c:v>
                </c:pt>
                <c:pt idx="12">
                  <c:v>43160</c:v>
                </c:pt>
                <c:pt idx="13">
                  <c:v>43252</c:v>
                </c:pt>
                <c:pt idx="14">
                  <c:v>43344</c:v>
                </c:pt>
                <c:pt idx="15">
                  <c:v>43435</c:v>
                </c:pt>
                <c:pt idx="16">
                  <c:v>43525</c:v>
                </c:pt>
                <c:pt idx="17">
                  <c:v>43617</c:v>
                </c:pt>
                <c:pt idx="18">
                  <c:v>43709</c:v>
                </c:pt>
                <c:pt idx="19">
                  <c:v>43800</c:v>
                </c:pt>
                <c:pt idx="20">
                  <c:v>43891</c:v>
                </c:pt>
                <c:pt idx="21">
                  <c:v>43983</c:v>
                </c:pt>
                <c:pt idx="22">
                  <c:v>44075</c:v>
                </c:pt>
                <c:pt idx="23">
                  <c:v>44166</c:v>
                </c:pt>
                <c:pt idx="24">
                  <c:v>44256</c:v>
                </c:pt>
                <c:pt idx="25">
                  <c:v>44348</c:v>
                </c:pt>
                <c:pt idx="26">
                  <c:v>44440</c:v>
                </c:pt>
                <c:pt idx="27">
                  <c:v>44531</c:v>
                </c:pt>
                <c:pt idx="28">
                  <c:v>44621</c:v>
                </c:pt>
              </c:numCache>
              <c:extLst/>
            </c:numRef>
          </c:cat>
          <c:val>
            <c:numRef>
              <c:f>'La Araucana'!$I$39:$AK$39</c:f>
              <c:numCache>
                <c:formatCode>0.0%</c:formatCode>
                <c:ptCount val="29"/>
                <c:pt idx="0">
                  <c:v>0.86250285617990619</c:v>
                </c:pt>
                <c:pt idx="1">
                  <c:v>0.85820840382346852</c:v>
                </c:pt>
                <c:pt idx="2">
                  <c:v>0.79983702226361453</c:v>
                </c:pt>
                <c:pt idx="3">
                  <c:v>0.76305499434896329</c:v>
                </c:pt>
                <c:pt idx="4">
                  <c:v>0.76276017987334976</c:v>
                </c:pt>
                <c:pt idx="5">
                  <c:v>0.77163156513555575</c:v>
                </c:pt>
                <c:pt idx="6">
                  <c:v>0.79125805501616597</c:v>
                </c:pt>
                <c:pt idx="7">
                  <c:v>0.81013335916139018</c:v>
                </c:pt>
                <c:pt idx="8">
                  <c:v>0.81433194587096469</c:v>
                </c:pt>
                <c:pt idx="9">
                  <c:v>0.80757556416599907</c:v>
                </c:pt>
                <c:pt idx="10">
                  <c:v>0.80910184431896215</c:v>
                </c:pt>
                <c:pt idx="11">
                  <c:v>0.82662003243159665</c:v>
                </c:pt>
                <c:pt idx="12">
                  <c:v>0.82557589180677526</c:v>
                </c:pt>
                <c:pt idx="13">
                  <c:v>0.81212982008355716</c:v>
                </c:pt>
                <c:pt idx="14">
                  <c:v>0.83306369892753385</c:v>
                </c:pt>
                <c:pt idx="15">
                  <c:v>0.83417328386321221</c:v>
                </c:pt>
                <c:pt idx="16">
                  <c:v>0.83543518110250115</c:v>
                </c:pt>
                <c:pt idx="17">
                  <c:v>0.83313984381199768</c:v>
                </c:pt>
                <c:pt idx="18">
                  <c:v>0.83716094432019461</c:v>
                </c:pt>
                <c:pt idx="19">
                  <c:v>0.83670538033253095</c:v>
                </c:pt>
                <c:pt idx="20">
                  <c:v>0.83039418731882331</c:v>
                </c:pt>
                <c:pt idx="21">
                  <c:v>0.81131312334603012</c:v>
                </c:pt>
                <c:pt idx="22">
                  <c:v>0.80999431161493629</c:v>
                </c:pt>
                <c:pt idx="23">
                  <c:v>0.8238269657347439</c:v>
                </c:pt>
                <c:pt idx="24">
                  <c:v>0.8267296795571164</c:v>
                </c:pt>
                <c:pt idx="25">
                  <c:v>0.8210098998628893</c:v>
                </c:pt>
                <c:pt idx="26">
                  <c:v>0.82232614898288559</c:v>
                </c:pt>
                <c:pt idx="27">
                  <c:v>0.83194468713747605</c:v>
                </c:pt>
                <c:pt idx="28">
                  <c:v>0.84172565835710111</c:v>
                </c:pt>
              </c:numCache>
              <c:extLst/>
            </c:numRef>
          </c:val>
          <c:smooth val="0"/>
          <c:extLst>
            <c:ext xmlns:c16="http://schemas.microsoft.com/office/drawing/2014/chart" uri="{C3380CC4-5D6E-409C-BE32-E72D297353CC}">
              <c16:uniqueId val="{00000007-7C3F-4604-9E28-690BD103597E}"/>
            </c:ext>
          </c:extLst>
        </c:ser>
        <c:dLbls>
          <c:showLegendKey val="0"/>
          <c:showVal val="0"/>
          <c:showCatName val="0"/>
          <c:showSerName val="0"/>
          <c:showPercent val="0"/>
          <c:showBubbleSize val="0"/>
        </c:dLbls>
        <c:marker val="1"/>
        <c:smooth val="0"/>
        <c:axId val="653963240"/>
        <c:axId val="653961272"/>
      </c:lineChart>
      <c:catAx>
        <c:axId val="65396947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mn-ea"/>
                <a:cs typeface="+mn-cs"/>
              </a:defRPr>
            </a:pPr>
            <a:endParaRPr lang="es-CL"/>
          </a:p>
        </c:txPr>
        <c:crossAx val="653912400"/>
        <c:crosses val="autoZero"/>
        <c:auto val="0"/>
        <c:lblAlgn val="ctr"/>
        <c:lblOffset val="100"/>
        <c:noMultiLvlLbl val="0"/>
      </c:catAx>
      <c:valAx>
        <c:axId val="653912400"/>
        <c:scaling>
          <c:orientation val="minMax"/>
          <c:max val="0.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mn-ea"/>
                <a:cs typeface="+mn-cs"/>
              </a:defRPr>
            </a:pPr>
            <a:endParaRPr lang="es-CL"/>
          </a:p>
        </c:txPr>
        <c:crossAx val="653969472"/>
        <c:crosses val="autoZero"/>
        <c:crossBetween val="between"/>
        <c:majorUnit val="2.0000000000000004E-2"/>
      </c:valAx>
      <c:valAx>
        <c:axId val="653961272"/>
        <c:scaling>
          <c:orientation val="minMax"/>
          <c:max val="1"/>
          <c:min val="0.60000000000000009"/>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mn-ea"/>
                <a:cs typeface="+mn-cs"/>
              </a:defRPr>
            </a:pPr>
            <a:endParaRPr lang="es-CL"/>
          </a:p>
        </c:txPr>
        <c:crossAx val="653963240"/>
        <c:crosses val="max"/>
        <c:crossBetween val="between"/>
        <c:majorUnit val="8.0000000000000016E-2"/>
      </c:valAx>
      <c:dateAx>
        <c:axId val="653963240"/>
        <c:scaling>
          <c:orientation val="minMax"/>
        </c:scaling>
        <c:delete val="1"/>
        <c:axPos val="b"/>
        <c:numFmt formatCode="mmm\-yy" sourceLinked="1"/>
        <c:majorTickMark val="out"/>
        <c:minorTickMark val="none"/>
        <c:tickLblPos val="nextTo"/>
        <c:crossAx val="653961272"/>
        <c:crosses val="autoZero"/>
        <c:auto val="1"/>
        <c:lblOffset val="100"/>
        <c:baseTimeUnit val="months"/>
      </c:dateAx>
      <c:spPr>
        <a:noFill/>
        <a:ln>
          <a:noFill/>
        </a:ln>
        <a:effectLst/>
      </c:spPr>
    </c:plotArea>
    <c:legend>
      <c:legendPos val="b"/>
      <c:layout>
        <c:manualLayout>
          <c:xMode val="edge"/>
          <c:yMode val="edge"/>
          <c:x val="7.8256604363263857E-2"/>
          <c:y val="0.90060648152167311"/>
          <c:w val="0.85230707793278859"/>
          <c:h val="9.9393518478326906E-2"/>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mn-ea"/>
              <a:cs typeface="+mn-cs"/>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baseline="0">
          <a:solidFill>
            <a:srgbClr val="2E3B5D"/>
          </a:solidFill>
          <a:latin typeface="Myriad Pro" panose="020B0503030403020204" pitchFamily="34" charset="0"/>
        </a:defRPr>
      </a:pPr>
      <a:endParaRPr lang="es-C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Tasa de pago</c:v>
          </c:tx>
          <c:spPr>
            <a:ln w="28575" cap="rnd">
              <a:solidFill>
                <a:srgbClr val="AF1923"/>
              </a:solidFill>
              <a:round/>
            </a:ln>
            <a:effectLst/>
          </c:spPr>
          <c:marker>
            <c:symbol val="none"/>
          </c:marker>
          <c:cat>
            <c:numRef>
              <c:f>'Tasa de pago'!$C$45:$BQ$45</c:f>
              <c:numCache>
                <c:formatCode>mmm\-yy</c:formatCode>
                <c:ptCount val="67"/>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pt idx="33">
                  <c:v>43739</c:v>
                </c:pt>
                <c:pt idx="34">
                  <c:v>43770</c:v>
                </c:pt>
                <c:pt idx="35">
                  <c:v>43800</c:v>
                </c:pt>
                <c:pt idx="36">
                  <c:v>43831</c:v>
                </c:pt>
                <c:pt idx="37">
                  <c:v>43862</c:v>
                </c:pt>
                <c:pt idx="38">
                  <c:v>43891</c:v>
                </c:pt>
                <c:pt idx="39">
                  <c:v>43922</c:v>
                </c:pt>
                <c:pt idx="40">
                  <c:v>43952</c:v>
                </c:pt>
                <c:pt idx="41">
                  <c:v>43983</c:v>
                </c:pt>
                <c:pt idx="42">
                  <c:v>44013</c:v>
                </c:pt>
                <c:pt idx="43">
                  <c:v>44044</c:v>
                </c:pt>
                <c:pt idx="44">
                  <c:v>44075</c:v>
                </c:pt>
                <c:pt idx="45">
                  <c:v>44105</c:v>
                </c:pt>
                <c:pt idx="46">
                  <c:v>44136</c:v>
                </c:pt>
                <c:pt idx="47">
                  <c:v>44166</c:v>
                </c:pt>
                <c:pt idx="48">
                  <c:v>44197</c:v>
                </c:pt>
                <c:pt idx="49">
                  <c:v>44228</c:v>
                </c:pt>
                <c:pt idx="50">
                  <c:v>44256</c:v>
                </c:pt>
                <c:pt idx="51">
                  <c:v>44287</c:v>
                </c:pt>
                <c:pt idx="52">
                  <c:v>44317</c:v>
                </c:pt>
                <c:pt idx="53">
                  <c:v>44348</c:v>
                </c:pt>
                <c:pt idx="54">
                  <c:v>44378</c:v>
                </c:pt>
                <c:pt idx="55">
                  <c:v>44409</c:v>
                </c:pt>
                <c:pt idx="56">
                  <c:v>44440</c:v>
                </c:pt>
                <c:pt idx="57">
                  <c:v>44470</c:v>
                </c:pt>
                <c:pt idx="58">
                  <c:v>44501</c:v>
                </c:pt>
                <c:pt idx="59">
                  <c:v>44531</c:v>
                </c:pt>
                <c:pt idx="60">
                  <c:v>44562</c:v>
                </c:pt>
                <c:pt idx="61">
                  <c:v>44593</c:v>
                </c:pt>
                <c:pt idx="62">
                  <c:v>44621</c:v>
                </c:pt>
                <c:pt idx="63">
                  <c:v>44652</c:v>
                </c:pt>
                <c:pt idx="64">
                  <c:v>44682</c:v>
                </c:pt>
                <c:pt idx="65">
                  <c:v>44713</c:v>
                </c:pt>
                <c:pt idx="66">
                  <c:v>44743</c:v>
                </c:pt>
              </c:numCache>
            </c:numRef>
          </c:cat>
          <c:val>
            <c:numRef>
              <c:f>'Tasa de pago'!$C$62:$BQ$62</c:f>
              <c:numCache>
                <c:formatCode>0.0%</c:formatCode>
                <c:ptCount val="67"/>
                <c:pt idx="1">
                  <c:v>4.2205981203645618E-2</c:v>
                </c:pt>
                <c:pt idx="2">
                  <c:v>4.3362613400785219E-2</c:v>
                </c:pt>
                <c:pt idx="3">
                  <c:v>4.1373839648048902E-2</c:v>
                </c:pt>
                <c:pt idx="4">
                  <c:v>4.4003668332551503E-2</c:v>
                </c:pt>
                <c:pt idx="5">
                  <c:v>4.2653905238583208E-2</c:v>
                </c:pt>
                <c:pt idx="6">
                  <c:v>4.4772129110249102E-2</c:v>
                </c:pt>
                <c:pt idx="7">
                  <c:v>4.3808602569000037E-2</c:v>
                </c:pt>
                <c:pt idx="8">
                  <c:v>4.3248917436343563E-2</c:v>
                </c:pt>
                <c:pt idx="9">
                  <c:v>4.4080985345527401E-2</c:v>
                </c:pt>
                <c:pt idx="10">
                  <c:v>4.3867211911989716E-2</c:v>
                </c:pt>
                <c:pt idx="11">
                  <c:v>4.34725836341208E-2</c:v>
                </c:pt>
                <c:pt idx="12">
                  <c:v>4.3574691953554408E-2</c:v>
                </c:pt>
                <c:pt idx="13">
                  <c:v>4.1537052288571318E-2</c:v>
                </c:pt>
                <c:pt idx="14">
                  <c:v>4.329496926397839E-2</c:v>
                </c:pt>
                <c:pt idx="15">
                  <c:v>4.339218695841783E-2</c:v>
                </c:pt>
                <c:pt idx="16">
                  <c:v>4.2637873196875016E-2</c:v>
                </c:pt>
                <c:pt idx="17">
                  <c:v>4.241964493698188E-2</c:v>
                </c:pt>
                <c:pt idx="18">
                  <c:v>4.2326037112976098E-2</c:v>
                </c:pt>
                <c:pt idx="19">
                  <c:v>4.3078800734105957E-2</c:v>
                </c:pt>
                <c:pt idx="20">
                  <c:v>4.0890535701646975E-2</c:v>
                </c:pt>
                <c:pt idx="21">
                  <c:v>4.3187605723499244E-2</c:v>
                </c:pt>
                <c:pt idx="22">
                  <c:v>4.1163321408996763E-2</c:v>
                </c:pt>
                <c:pt idx="23">
                  <c:v>4.1895445770256355E-2</c:v>
                </c:pt>
                <c:pt idx="24">
                  <c:v>4.1426847320588857E-2</c:v>
                </c:pt>
                <c:pt idx="25">
                  <c:v>4.0296944931234979E-2</c:v>
                </c:pt>
                <c:pt idx="26">
                  <c:v>4.1213701582516832E-2</c:v>
                </c:pt>
                <c:pt idx="27">
                  <c:v>4.0986595639566109E-2</c:v>
                </c:pt>
                <c:pt idx="28">
                  <c:v>4.0876630417656344E-2</c:v>
                </c:pt>
                <c:pt idx="29">
                  <c:v>4.2435875063384185E-2</c:v>
                </c:pt>
                <c:pt idx="30">
                  <c:v>4.2557573945320733E-2</c:v>
                </c:pt>
                <c:pt idx="31">
                  <c:v>4.121403661496064E-2</c:v>
                </c:pt>
                <c:pt idx="32">
                  <c:v>3.9876961595364073E-2</c:v>
                </c:pt>
                <c:pt idx="33">
                  <c:v>4.0560471164853867E-2</c:v>
                </c:pt>
                <c:pt idx="34">
                  <c:v>3.9180164066537765E-2</c:v>
                </c:pt>
                <c:pt idx="35">
                  <c:v>3.9664061295873201E-2</c:v>
                </c:pt>
                <c:pt idx="36">
                  <c:v>3.9868219460842E-2</c:v>
                </c:pt>
                <c:pt idx="37">
                  <c:v>3.7949206254130792E-2</c:v>
                </c:pt>
                <c:pt idx="38">
                  <c:v>3.8094943301645146E-2</c:v>
                </c:pt>
                <c:pt idx="39">
                  <c:v>3.5736928344354581E-2</c:v>
                </c:pt>
                <c:pt idx="40">
                  <c:v>3.3865706764718638E-2</c:v>
                </c:pt>
                <c:pt idx="41">
                  <c:v>3.2442093705510197E-2</c:v>
                </c:pt>
                <c:pt idx="42">
                  <c:v>3.3301404726538412E-2</c:v>
                </c:pt>
                <c:pt idx="43">
                  <c:v>3.4464516711924062E-2</c:v>
                </c:pt>
                <c:pt idx="44">
                  <c:v>3.5119718854118277E-2</c:v>
                </c:pt>
                <c:pt idx="45">
                  <c:v>3.6059467875824147E-2</c:v>
                </c:pt>
                <c:pt idx="46">
                  <c:v>3.5733386034539474E-2</c:v>
                </c:pt>
                <c:pt idx="47">
                  <c:v>3.5883310037407454E-2</c:v>
                </c:pt>
                <c:pt idx="48">
                  <c:v>3.6438621330846833E-2</c:v>
                </c:pt>
                <c:pt idx="49">
                  <c:v>3.6003421178608011E-2</c:v>
                </c:pt>
                <c:pt idx="50">
                  <c:v>3.6916732676827782E-2</c:v>
                </c:pt>
                <c:pt idx="51">
                  <c:v>3.5281989575628489E-2</c:v>
                </c:pt>
                <c:pt idx="52">
                  <c:v>3.7088795854634989E-2</c:v>
                </c:pt>
                <c:pt idx="53">
                  <c:v>3.5623140054115043E-2</c:v>
                </c:pt>
                <c:pt idx="54">
                  <c:v>3.596540580581771E-2</c:v>
                </c:pt>
                <c:pt idx="55">
                  <c:v>3.7269902855527684E-2</c:v>
                </c:pt>
                <c:pt idx="56">
                  <c:v>3.474109568388753E-2</c:v>
                </c:pt>
                <c:pt idx="57">
                  <c:v>3.4933630167483298E-2</c:v>
                </c:pt>
                <c:pt idx="58">
                  <c:v>3.5392062814079854E-2</c:v>
                </c:pt>
                <c:pt idx="59">
                  <c:v>3.4188347083738885E-2</c:v>
                </c:pt>
                <c:pt idx="60">
                  <c:v>3.3394188140177944E-2</c:v>
                </c:pt>
                <c:pt idx="61">
                  <c:v>3.3263856127448178E-2</c:v>
                </c:pt>
                <c:pt idx="62">
                  <c:v>3.4617232070247035E-2</c:v>
                </c:pt>
                <c:pt idx="63">
                  <c:v>3.4063441392461431E-2</c:v>
                </c:pt>
                <c:pt idx="64">
                  <c:v>3.4880501309555147E-2</c:v>
                </c:pt>
                <c:pt idx="65">
                  <c:v>3.3848219818561204E-2</c:v>
                </c:pt>
                <c:pt idx="66">
                  <c:v>3.4158758175807526E-2</c:v>
                </c:pt>
              </c:numCache>
            </c:numRef>
          </c:val>
          <c:smooth val="0"/>
          <c:extLst>
            <c:ext xmlns:c16="http://schemas.microsoft.com/office/drawing/2014/chart" uri="{C3380CC4-5D6E-409C-BE32-E72D297353CC}">
              <c16:uniqueId val="{00000000-088E-402C-A57C-6E6159C445A7}"/>
            </c:ext>
          </c:extLst>
        </c:ser>
        <c:dLbls>
          <c:showLegendKey val="0"/>
          <c:showVal val="0"/>
          <c:showCatName val="0"/>
          <c:showSerName val="0"/>
          <c:showPercent val="0"/>
          <c:showBubbleSize val="0"/>
        </c:dLbls>
        <c:smooth val="0"/>
        <c:axId val="377902447"/>
        <c:axId val="377908687"/>
      </c:lineChart>
      <c:dateAx>
        <c:axId val="37790244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mn-ea"/>
                <a:cs typeface="+mn-cs"/>
              </a:defRPr>
            </a:pPr>
            <a:endParaRPr lang="es-CL"/>
          </a:p>
        </c:txPr>
        <c:crossAx val="377908687"/>
        <c:crosses val="autoZero"/>
        <c:auto val="0"/>
        <c:lblOffset val="100"/>
        <c:baseTimeUnit val="months"/>
        <c:majorUnit val="3"/>
        <c:majorTimeUnit val="months"/>
      </c:dateAx>
      <c:valAx>
        <c:axId val="37790868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mn-ea"/>
                <a:cs typeface="+mn-cs"/>
              </a:defRPr>
            </a:pPr>
            <a:endParaRPr lang="es-CL"/>
          </a:p>
        </c:txPr>
        <c:crossAx val="3779024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2E3B5D"/>
          </a:solidFill>
          <a:latin typeface="Myriad Pro" panose="020B0503030403020204" pitchFamily="34" charset="0"/>
        </a:defRPr>
      </a:pPr>
      <a:endParaRPr lang="es-C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64835925360077"/>
          <c:y val="4.4817927170868348E-2"/>
          <c:w val="0.8285745376355319"/>
          <c:h val="0.75512340369218567"/>
        </c:manualLayout>
      </c:layout>
      <c:barChart>
        <c:barDir val="col"/>
        <c:grouping val="clustered"/>
        <c:varyColors val="0"/>
        <c:ser>
          <c:idx val="0"/>
          <c:order val="0"/>
          <c:tx>
            <c:strRef>
              <c:f>'Gráficos Informe'!$B$4</c:f>
              <c:strCache>
                <c:ptCount val="1"/>
                <c:pt idx="0">
                  <c:v>Ingresos</c:v>
                </c:pt>
              </c:strCache>
            </c:strRef>
          </c:tx>
          <c:spPr>
            <a:solidFill>
              <a:srgbClr val="24224F"/>
            </a:solidFill>
            <a:ln>
              <a:noFill/>
            </a:ln>
            <a:effectLst/>
          </c:spPr>
          <c:invertIfNegative val="0"/>
          <c:cat>
            <c:strRef>
              <c:f>'Gráficos Informe'!$C$3:$I$3</c:f>
              <c:strCache>
                <c:ptCount val="7"/>
                <c:pt idx="0">
                  <c:v>dic-16</c:v>
                </c:pt>
                <c:pt idx="1">
                  <c:v>dic-17</c:v>
                </c:pt>
                <c:pt idx="2">
                  <c:v>dic-18</c:v>
                </c:pt>
                <c:pt idx="3">
                  <c:v>dic-19</c:v>
                </c:pt>
                <c:pt idx="4">
                  <c:v>dic-20</c:v>
                </c:pt>
                <c:pt idx="5">
                  <c:v>dic-21</c:v>
                </c:pt>
                <c:pt idx="6">
                  <c:v>mar 22 UDM</c:v>
                </c:pt>
              </c:strCache>
            </c:strRef>
          </c:cat>
          <c:val>
            <c:numRef>
              <c:f>'Gráficos Informe'!$C$4:$I$4</c:f>
              <c:numCache>
                <c:formatCode>_(* #,##0_);_(* \(#,##0\);_(* "-"_);_(@_)</c:formatCode>
                <c:ptCount val="7"/>
                <c:pt idx="0">
                  <c:v>139405792.40774801</c:v>
                </c:pt>
                <c:pt idx="1">
                  <c:v>129183557.35281748</c:v>
                </c:pt>
                <c:pt idx="2">
                  <c:v>108347094.80662403</c:v>
                </c:pt>
                <c:pt idx="3">
                  <c:v>98478501.068093359</c:v>
                </c:pt>
                <c:pt idx="4">
                  <c:v>82167126.629423618</c:v>
                </c:pt>
                <c:pt idx="5">
                  <c:v>64100428.131027788</c:v>
                </c:pt>
                <c:pt idx="6">
                  <c:v>62640793.843071625</c:v>
                </c:pt>
              </c:numCache>
            </c:numRef>
          </c:val>
          <c:extLst>
            <c:ext xmlns:c16="http://schemas.microsoft.com/office/drawing/2014/chart" uri="{C3380CC4-5D6E-409C-BE32-E72D297353CC}">
              <c16:uniqueId val="{00000000-36EE-4ABF-A378-348C0B86C83E}"/>
            </c:ext>
          </c:extLst>
        </c:ser>
        <c:ser>
          <c:idx val="1"/>
          <c:order val="1"/>
          <c:tx>
            <c:strRef>
              <c:f>'Gráficos Informe'!$B$5</c:f>
              <c:strCache>
                <c:ptCount val="1"/>
                <c:pt idx="0">
                  <c:v>Colocaciones</c:v>
                </c:pt>
              </c:strCache>
            </c:strRef>
          </c:tx>
          <c:spPr>
            <a:solidFill>
              <a:srgbClr val="BB1823"/>
            </a:solidFill>
            <a:ln>
              <a:noFill/>
            </a:ln>
            <a:effectLst/>
          </c:spPr>
          <c:invertIfNegative val="0"/>
          <c:cat>
            <c:strRef>
              <c:f>'Gráficos Informe'!$C$3:$I$3</c:f>
              <c:strCache>
                <c:ptCount val="7"/>
                <c:pt idx="0">
                  <c:v>dic-16</c:v>
                </c:pt>
                <c:pt idx="1">
                  <c:v>dic-17</c:v>
                </c:pt>
                <c:pt idx="2">
                  <c:v>dic-18</c:v>
                </c:pt>
                <c:pt idx="3">
                  <c:v>dic-19</c:v>
                </c:pt>
                <c:pt idx="4">
                  <c:v>dic-20</c:v>
                </c:pt>
                <c:pt idx="5">
                  <c:v>dic-21</c:v>
                </c:pt>
                <c:pt idx="6">
                  <c:v>mar 22 UDM</c:v>
                </c:pt>
              </c:strCache>
            </c:strRef>
          </c:cat>
          <c:val>
            <c:numRef>
              <c:f>'Gráficos Informe'!$C$5:$I$5</c:f>
              <c:numCache>
                <c:formatCode>_(* #,##0_);_(* \(#,##0\);_(* "-"_);_(@_)</c:formatCode>
                <c:ptCount val="7"/>
                <c:pt idx="0">
                  <c:v>405412099.4050343</c:v>
                </c:pt>
                <c:pt idx="1">
                  <c:v>395160467.82680142</c:v>
                </c:pt>
                <c:pt idx="2">
                  <c:v>389584735.98292637</c:v>
                </c:pt>
                <c:pt idx="3">
                  <c:v>390752214.45765334</c:v>
                </c:pt>
                <c:pt idx="4">
                  <c:v>317806484.72429031</c:v>
                </c:pt>
                <c:pt idx="5">
                  <c:v>269496953</c:v>
                </c:pt>
                <c:pt idx="6">
                  <c:v>280486111</c:v>
                </c:pt>
              </c:numCache>
            </c:numRef>
          </c:val>
          <c:extLst>
            <c:ext xmlns:c16="http://schemas.microsoft.com/office/drawing/2014/chart" uri="{C3380CC4-5D6E-409C-BE32-E72D297353CC}">
              <c16:uniqueId val="{00000001-36EE-4ABF-A378-348C0B86C83E}"/>
            </c:ext>
          </c:extLst>
        </c:ser>
        <c:dLbls>
          <c:showLegendKey val="0"/>
          <c:showVal val="0"/>
          <c:showCatName val="0"/>
          <c:showSerName val="0"/>
          <c:showPercent val="0"/>
          <c:showBubbleSize val="0"/>
        </c:dLbls>
        <c:gapWidth val="219"/>
        <c:axId val="1715366847"/>
        <c:axId val="1715358943"/>
      </c:barChart>
      <c:lineChart>
        <c:grouping val="standard"/>
        <c:varyColors val="0"/>
        <c:ser>
          <c:idx val="2"/>
          <c:order val="2"/>
          <c:tx>
            <c:strRef>
              <c:f>'Gráficos Informe'!$B$6</c:f>
              <c:strCache>
                <c:ptCount val="1"/>
                <c:pt idx="0">
                  <c:v>Ingresos / colocaciones (eje der)</c:v>
                </c:pt>
              </c:strCache>
            </c:strRef>
          </c:tx>
          <c:spPr>
            <a:ln w="28575" cap="rnd">
              <a:solidFill>
                <a:srgbClr val="9C9D9E"/>
              </a:solidFill>
              <a:round/>
            </a:ln>
            <a:effectLst/>
          </c:spPr>
          <c:marker>
            <c:symbol val="none"/>
          </c:marker>
          <c:cat>
            <c:strRef>
              <c:f>'Gráficos Informe'!$C$3:$I$3</c:f>
              <c:strCache>
                <c:ptCount val="7"/>
                <c:pt idx="0">
                  <c:v>dic-16</c:v>
                </c:pt>
                <c:pt idx="1">
                  <c:v>dic-17</c:v>
                </c:pt>
                <c:pt idx="2">
                  <c:v>dic-18</c:v>
                </c:pt>
                <c:pt idx="3">
                  <c:v>dic-19</c:v>
                </c:pt>
                <c:pt idx="4">
                  <c:v>dic-20</c:v>
                </c:pt>
                <c:pt idx="5">
                  <c:v>dic-21</c:v>
                </c:pt>
                <c:pt idx="6">
                  <c:v>mar 22 UDM</c:v>
                </c:pt>
              </c:strCache>
            </c:strRef>
          </c:cat>
          <c:val>
            <c:numRef>
              <c:f>'Gráficos Informe'!$C$6:$I$6</c:f>
              <c:numCache>
                <c:formatCode>0%</c:formatCode>
                <c:ptCount val="7"/>
                <c:pt idx="0">
                  <c:v>0.34386194347019755</c:v>
                </c:pt>
                <c:pt idx="1">
                  <c:v>0.32691417252152499</c:v>
                </c:pt>
                <c:pt idx="2">
                  <c:v>0.27810918857809758</c:v>
                </c:pt>
                <c:pt idx="3">
                  <c:v>0.25202288668991202</c:v>
                </c:pt>
                <c:pt idx="4">
                  <c:v>0.25854452498257502</c:v>
                </c:pt>
                <c:pt idx="5">
                  <c:v>0.23785214421711026</c:v>
                </c:pt>
                <c:pt idx="6" formatCode="0.0%">
                  <c:v>0.22332939631036355</c:v>
                </c:pt>
              </c:numCache>
            </c:numRef>
          </c:val>
          <c:smooth val="0"/>
          <c:extLst>
            <c:ext xmlns:c16="http://schemas.microsoft.com/office/drawing/2014/chart" uri="{C3380CC4-5D6E-409C-BE32-E72D297353CC}">
              <c16:uniqueId val="{00000002-36EE-4ABF-A378-348C0B86C83E}"/>
            </c:ext>
          </c:extLst>
        </c:ser>
        <c:dLbls>
          <c:showLegendKey val="0"/>
          <c:showVal val="0"/>
          <c:showCatName val="0"/>
          <c:showSerName val="0"/>
          <c:showPercent val="0"/>
          <c:showBubbleSize val="0"/>
        </c:dLbls>
        <c:marker val="1"/>
        <c:smooth val="0"/>
        <c:axId val="1460244224"/>
        <c:axId val="1460247968"/>
      </c:lineChart>
      <c:catAx>
        <c:axId val="171536684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Verdana" panose="020B0604030504040204" pitchFamily="34" charset="0"/>
                <a:cs typeface="+mn-cs"/>
              </a:defRPr>
            </a:pPr>
            <a:endParaRPr lang="es-CL"/>
          </a:p>
        </c:txPr>
        <c:crossAx val="1715358943"/>
        <c:crosses val="autoZero"/>
        <c:auto val="0"/>
        <c:lblAlgn val="ctr"/>
        <c:lblOffset val="100"/>
        <c:noMultiLvlLbl val="0"/>
      </c:catAx>
      <c:valAx>
        <c:axId val="1715358943"/>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Verdana" panose="020B0604030504040204" pitchFamily="34" charset="0"/>
                <a:cs typeface="+mn-cs"/>
              </a:defRPr>
            </a:pPr>
            <a:endParaRPr lang="es-CL"/>
          </a:p>
        </c:txPr>
        <c:crossAx val="1715366847"/>
        <c:crosses val="autoZero"/>
        <c:crossBetween val="between"/>
        <c:dispUnits>
          <c:builtInUnit val="thousands"/>
          <c:dispUnitsLbl>
            <c:layout>
              <c:manualLayout>
                <c:xMode val="edge"/>
                <c:yMode val="edge"/>
                <c:x val="2.2111663902708678E-3"/>
                <c:y val="0.31932773109243695"/>
              </c:manualLayout>
            </c:layout>
            <c:tx>
              <c:rich>
                <a:bodyPr rot="-540000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Verdana" panose="020B0604030504040204" pitchFamily="34" charset="0"/>
                      <a:cs typeface="+mn-cs"/>
                    </a:defRPr>
                  </a:pPr>
                  <a:r>
                    <a:rPr lang="es-CL"/>
                    <a:t>MM$</a:t>
                  </a:r>
                </a:p>
              </c:rich>
            </c:tx>
            <c:spPr>
              <a:noFill/>
              <a:ln>
                <a:noFill/>
              </a:ln>
              <a:effectLst/>
            </c:spPr>
            <c:txPr>
              <a:bodyPr rot="-540000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Verdana" panose="020B0604030504040204" pitchFamily="34" charset="0"/>
                    <a:cs typeface="+mn-cs"/>
                  </a:defRPr>
                </a:pPr>
                <a:endParaRPr lang="es-CL"/>
              </a:p>
            </c:txPr>
          </c:dispUnitsLbl>
        </c:dispUnits>
      </c:valAx>
      <c:valAx>
        <c:axId val="1460247968"/>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Verdana" panose="020B0604030504040204" pitchFamily="34" charset="0"/>
                <a:cs typeface="+mn-cs"/>
              </a:defRPr>
            </a:pPr>
            <a:endParaRPr lang="es-CL"/>
          </a:p>
        </c:txPr>
        <c:crossAx val="1460244224"/>
        <c:crosses val="max"/>
        <c:crossBetween val="between"/>
      </c:valAx>
      <c:catAx>
        <c:axId val="1460244224"/>
        <c:scaling>
          <c:orientation val="minMax"/>
        </c:scaling>
        <c:delete val="1"/>
        <c:axPos val="b"/>
        <c:numFmt formatCode="General" sourceLinked="1"/>
        <c:majorTickMark val="out"/>
        <c:minorTickMark val="none"/>
        <c:tickLblPos val="nextTo"/>
        <c:crossAx val="1460247968"/>
        <c:crosses val="autoZero"/>
        <c:auto val="1"/>
        <c:lblAlgn val="ctr"/>
        <c:lblOffset val="100"/>
        <c:noMultiLvlLbl val="0"/>
      </c:catAx>
      <c:spPr>
        <a:noFill/>
        <a:ln>
          <a:noFill/>
        </a:ln>
        <a:effectLst/>
      </c:spPr>
    </c:plotArea>
    <c:legend>
      <c:legendPos val="b"/>
      <c:layout>
        <c:manualLayout>
          <c:xMode val="edge"/>
          <c:yMode val="edge"/>
          <c:x val="0.16493229391102232"/>
          <c:y val="0.90745803833344363"/>
          <c:w val="0.66571307939741364"/>
          <c:h val="8.6939720770197848E-2"/>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Verdana" panose="020B0604030504040204" pitchFamily="34" charset="0"/>
              <a:cs typeface="+mn-cs"/>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baseline="0">
          <a:solidFill>
            <a:srgbClr val="2E3B5D"/>
          </a:solidFill>
          <a:latin typeface="Myriad Pro" panose="020B0503030403020204" pitchFamily="34" charset="0"/>
          <a:ea typeface="Verdana" panose="020B0604030504040204" pitchFamily="34" charset="0"/>
        </a:defRPr>
      </a:pPr>
      <a:endParaRPr lang="es-C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'Gráficos Informe'!$B$23</c:f>
              <c:strCache>
                <c:ptCount val="1"/>
                <c:pt idx="0">
                  <c:v>Razón Circulante</c:v>
                </c:pt>
              </c:strCache>
            </c:strRef>
          </c:tx>
          <c:spPr>
            <a:ln w="28575" cap="rnd">
              <a:solidFill>
                <a:srgbClr val="AF1923"/>
              </a:solidFill>
              <a:round/>
            </a:ln>
            <a:effectLst/>
          </c:spPr>
          <c:marker>
            <c:symbol val="none"/>
          </c:marker>
          <c:cat>
            <c:numRef>
              <c:f>'Gráficos Informe'!$C$22:$I$22</c:f>
              <c:numCache>
                <c:formatCode>mmm\-yy</c:formatCode>
                <c:ptCount val="7"/>
                <c:pt idx="0">
                  <c:v>42735</c:v>
                </c:pt>
                <c:pt idx="1">
                  <c:v>43100</c:v>
                </c:pt>
                <c:pt idx="2">
                  <c:v>43465</c:v>
                </c:pt>
                <c:pt idx="3">
                  <c:v>43830</c:v>
                </c:pt>
                <c:pt idx="4">
                  <c:v>44196</c:v>
                </c:pt>
                <c:pt idx="5">
                  <c:v>44561</c:v>
                </c:pt>
                <c:pt idx="6">
                  <c:v>44651</c:v>
                </c:pt>
              </c:numCache>
            </c:numRef>
          </c:cat>
          <c:val>
            <c:numRef>
              <c:f>'Gráficos Informe'!$C$23:$I$23</c:f>
              <c:numCache>
                <c:formatCode>0.00</c:formatCode>
                <c:ptCount val="7"/>
                <c:pt idx="0">
                  <c:v>0.5315742373893072</c:v>
                </c:pt>
                <c:pt idx="1">
                  <c:v>5.313017171901242</c:v>
                </c:pt>
                <c:pt idx="2">
                  <c:v>4.3717636113971139</c:v>
                </c:pt>
                <c:pt idx="3">
                  <c:v>4.8439631515375305</c:v>
                </c:pt>
                <c:pt idx="4">
                  <c:v>6.7539788762748865</c:v>
                </c:pt>
                <c:pt idx="5">
                  <c:v>6.7631886168639053</c:v>
                </c:pt>
                <c:pt idx="6">
                  <c:v>6.5944224741837658</c:v>
                </c:pt>
              </c:numCache>
            </c:numRef>
          </c:val>
          <c:smooth val="0"/>
          <c:extLst>
            <c:ext xmlns:c16="http://schemas.microsoft.com/office/drawing/2014/chart" uri="{C3380CC4-5D6E-409C-BE32-E72D297353CC}">
              <c16:uniqueId val="{00000000-DA44-4084-89F8-010A6CCE44F4}"/>
            </c:ext>
          </c:extLst>
        </c:ser>
        <c:dLbls>
          <c:showLegendKey val="0"/>
          <c:showVal val="0"/>
          <c:showCatName val="0"/>
          <c:showSerName val="0"/>
          <c:showPercent val="0"/>
          <c:showBubbleSize val="0"/>
        </c:dLbls>
        <c:smooth val="0"/>
        <c:axId val="1715363935"/>
        <c:axId val="1715371007"/>
      </c:lineChart>
      <c:catAx>
        <c:axId val="171536393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Verdana" panose="020B0604030504040204" pitchFamily="34" charset="0"/>
                <a:cs typeface="+mn-cs"/>
              </a:defRPr>
            </a:pPr>
            <a:endParaRPr lang="es-CL"/>
          </a:p>
        </c:txPr>
        <c:crossAx val="1715371007"/>
        <c:crosses val="autoZero"/>
        <c:auto val="0"/>
        <c:lblAlgn val="ctr"/>
        <c:lblOffset val="100"/>
        <c:noMultiLvlLbl val="0"/>
      </c:catAx>
      <c:valAx>
        <c:axId val="1715371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Verdana" panose="020B0604030504040204" pitchFamily="34" charset="0"/>
                    <a:cs typeface="+mn-cs"/>
                  </a:defRPr>
                </a:pPr>
                <a:r>
                  <a:rPr lang="es-CL"/>
                  <a:t>Veces</a:t>
                </a:r>
              </a:p>
            </c:rich>
          </c:tx>
          <c:overlay val="0"/>
          <c:spPr>
            <a:noFill/>
            <a:ln>
              <a:noFill/>
            </a:ln>
            <a:effectLst/>
          </c:spPr>
          <c:txPr>
            <a:bodyPr rot="-540000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Verdana" panose="020B0604030504040204" pitchFamily="34" charset="0"/>
                  <a:cs typeface="+mn-cs"/>
                </a:defRPr>
              </a:pPr>
              <a:endParaRPr lang="es-CL"/>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Verdana" panose="020B0604030504040204" pitchFamily="34" charset="0"/>
                <a:cs typeface="+mn-cs"/>
              </a:defRPr>
            </a:pPr>
            <a:endParaRPr lang="es-CL"/>
          </a:p>
        </c:txPr>
        <c:crossAx val="1715363935"/>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Verdana" panose="020B0604030504040204" pitchFamily="34" charset="0"/>
              <a:cs typeface="+mn-cs"/>
            </a:defRPr>
          </a:pPr>
          <a:endParaRPr lang="es-CL"/>
        </a:p>
      </c:txPr>
    </c:legend>
    <c:plotVisOnly val="1"/>
    <c:dispBlanksAs val="gap"/>
    <c:showDLblsOverMax val="0"/>
  </c:chart>
  <c:spPr>
    <a:noFill/>
    <a:ln w="9525" cap="flat" cmpd="sng" algn="ctr">
      <a:noFill/>
      <a:round/>
    </a:ln>
    <a:effectLst/>
  </c:spPr>
  <c:txPr>
    <a:bodyPr/>
    <a:lstStyle/>
    <a:p>
      <a:pPr>
        <a:defRPr sz="800" baseline="0">
          <a:solidFill>
            <a:srgbClr val="2E3B5D"/>
          </a:solidFill>
          <a:latin typeface="Myriad Pro" panose="020B0503030403020204" pitchFamily="34" charset="0"/>
          <a:ea typeface="Verdana" panose="020B0604030504040204" pitchFamily="34" charset="0"/>
        </a:defRPr>
      </a:pPr>
      <a:endParaRPr lang="es-C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716613565531425E-2"/>
          <c:y val="4.8511576626240352E-2"/>
          <c:w val="0.88902759812134824"/>
          <c:h val="0.76312911823177565"/>
        </c:manualLayout>
      </c:layout>
      <c:lineChart>
        <c:grouping val="standard"/>
        <c:varyColors val="0"/>
        <c:ser>
          <c:idx val="0"/>
          <c:order val="0"/>
          <c:tx>
            <c:strRef>
              <c:f>'Gráficos Informe'!$B$44</c:f>
              <c:strCache>
                <c:ptCount val="1"/>
                <c:pt idx="0">
                  <c:v>Pasivo exigible sobre patrimonio</c:v>
                </c:pt>
              </c:strCache>
            </c:strRef>
          </c:tx>
          <c:spPr>
            <a:ln w="28575" cap="rnd">
              <a:solidFill>
                <a:srgbClr val="AF1923"/>
              </a:solidFill>
              <a:round/>
            </a:ln>
            <a:effectLst/>
          </c:spPr>
          <c:marker>
            <c:symbol val="none"/>
          </c:marker>
          <c:cat>
            <c:numRef>
              <c:f>'Gráficos Informe'!$C$43:$I$43</c:f>
              <c:numCache>
                <c:formatCode>mmm\-yy</c:formatCode>
                <c:ptCount val="7"/>
                <c:pt idx="0">
                  <c:v>42735</c:v>
                </c:pt>
                <c:pt idx="1">
                  <c:v>43100</c:v>
                </c:pt>
                <c:pt idx="2">
                  <c:v>43465</c:v>
                </c:pt>
                <c:pt idx="3">
                  <c:v>43830</c:v>
                </c:pt>
                <c:pt idx="4">
                  <c:v>44196</c:v>
                </c:pt>
                <c:pt idx="5">
                  <c:v>44561</c:v>
                </c:pt>
                <c:pt idx="6">
                  <c:v>44651</c:v>
                </c:pt>
              </c:numCache>
            </c:numRef>
          </c:cat>
          <c:val>
            <c:numRef>
              <c:f>'Gráficos Informe'!$C$44:$I$44</c:f>
              <c:numCache>
                <c:formatCode>0.00</c:formatCode>
                <c:ptCount val="7"/>
                <c:pt idx="0">
                  <c:v>5.6077196793710948</c:v>
                </c:pt>
                <c:pt idx="1">
                  <c:v>4.9609505868222135</c:v>
                </c:pt>
                <c:pt idx="2">
                  <c:v>4.4889594968597191</c:v>
                </c:pt>
                <c:pt idx="3">
                  <c:v>3.5375791431103916</c:v>
                </c:pt>
                <c:pt idx="4">
                  <c:v>3.2959222302703455</c:v>
                </c:pt>
                <c:pt idx="5">
                  <c:v>2.0889961116620652</c:v>
                </c:pt>
                <c:pt idx="6">
                  <c:v>2.0681427949442019</c:v>
                </c:pt>
              </c:numCache>
            </c:numRef>
          </c:val>
          <c:smooth val="0"/>
          <c:extLst>
            <c:ext xmlns:c16="http://schemas.microsoft.com/office/drawing/2014/chart" uri="{C3380CC4-5D6E-409C-BE32-E72D297353CC}">
              <c16:uniqueId val="{00000000-18D7-4972-B80F-741ED8F620A8}"/>
            </c:ext>
          </c:extLst>
        </c:ser>
        <c:dLbls>
          <c:showLegendKey val="0"/>
          <c:showVal val="0"/>
          <c:showCatName val="0"/>
          <c:showSerName val="0"/>
          <c:showPercent val="0"/>
          <c:showBubbleSize val="0"/>
        </c:dLbls>
        <c:smooth val="0"/>
        <c:axId val="688718287"/>
        <c:axId val="688714543"/>
      </c:lineChart>
      <c:catAx>
        <c:axId val="68871828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Verdana" panose="020B0604030504040204" pitchFamily="34" charset="0"/>
                <a:cs typeface="+mn-cs"/>
              </a:defRPr>
            </a:pPr>
            <a:endParaRPr lang="es-CL"/>
          </a:p>
        </c:txPr>
        <c:crossAx val="688714543"/>
        <c:crosses val="autoZero"/>
        <c:auto val="0"/>
        <c:lblAlgn val="ctr"/>
        <c:lblOffset val="100"/>
        <c:noMultiLvlLbl val="0"/>
      </c:catAx>
      <c:valAx>
        <c:axId val="6887145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Verdana" panose="020B0604030504040204" pitchFamily="34" charset="0"/>
                    <a:cs typeface="+mn-cs"/>
                  </a:defRPr>
                </a:pPr>
                <a:r>
                  <a:rPr lang="es-CL"/>
                  <a:t>veces</a:t>
                </a:r>
              </a:p>
            </c:rich>
          </c:tx>
          <c:layout>
            <c:manualLayout>
              <c:xMode val="edge"/>
              <c:yMode val="edge"/>
              <c:x val="4.410143329658214E-3"/>
              <c:y val="0.3845964458411827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Verdana" panose="020B0604030504040204" pitchFamily="34" charset="0"/>
                  <a:cs typeface="+mn-cs"/>
                </a:defRPr>
              </a:pPr>
              <a:endParaRPr lang="es-CL"/>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Verdana" panose="020B0604030504040204" pitchFamily="34" charset="0"/>
                <a:cs typeface="+mn-cs"/>
              </a:defRPr>
            </a:pPr>
            <a:endParaRPr lang="es-CL"/>
          </a:p>
        </c:txPr>
        <c:crossAx val="688718287"/>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Verdana" panose="020B0604030504040204" pitchFamily="34" charset="0"/>
              <a:cs typeface="+mn-cs"/>
            </a:defRPr>
          </a:pPr>
          <a:endParaRPr lang="es-CL"/>
        </a:p>
      </c:txPr>
    </c:legend>
    <c:plotVisOnly val="1"/>
    <c:dispBlanksAs val="gap"/>
    <c:showDLblsOverMax val="0"/>
  </c:chart>
  <c:spPr>
    <a:noFill/>
    <a:ln w="9525" cap="flat" cmpd="sng" algn="ctr">
      <a:noFill/>
      <a:round/>
    </a:ln>
    <a:effectLst/>
  </c:spPr>
  <c:txPr>
    <a:bodyPr/>
    <a:lstStyle/>
    <a:p>
      <a:pPr>
        <a:defRPr sz="800" baseline="0">
          <a:solidFill>
            <a:srgbClr val="2E3B5D"/>
          </a:solidFill>
          <a:latin typeface="Myriad Pro" panose="020B0503030403020204" pitchFamily="34" charset="0"/>
          <a:ea typeface="Verdana" panose="020B0604030504040204" pitchFamily="34" charset="0"/>
        </a:defRPr>
      </a:pPr>
      <a:endParaRPr lang="es-C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'Gráficos Informe'!$B$65</c:f>
              <c:strCache>
                <c:ptCount val="1"/>
                <c:pt idx="0">
                  <c:v>Colocaciones sobre Deuda Financiera</c:v>
                </c:pt>
              </c:strCache>
            </c:strRef>
          </c:tx>
          <c:spPr>
            <a:ln w="28575" cap="rnd">
              <a:solidFill>
                <a:srgbClr val="AF1923"/>
              </a:solidFill>
              <a:round/>
            </a:ln>
            <a:effectLst/>
          </c:spPr>
          <c:marker>
            <c:symbol val="none"/>
          </c:marker>
          <c:cat>
            <c:numRef>
              <c:f>'Gráficos Informe'!$C$62:$I$62</c:f>
              <c:numCache>
                <c:formatCode>mmm\-yy</c:formatCode>
                <c:ptCount val="7"/>
                <c:pt idx="0">
                  <c:v>42735</c:v>
                </c:pt>
                <c:pt idx="1">
                  <c:v>43100</c:v>
                </c:pt>
                <c:pt idx="2">
                  <c:v>43465</c:v>
                </c:pt>
                <c:pt idx="3">
                  <c:v>43830</c:v>
                </c:pt>
                <c:pt idx="4">
                  <c:v>44196</c:v>
                </c:pt>
                <c:pt idx="5">
                  <c:v>44561</c:v>
                </c:pt>
                <c:pt idx="6">
                  <c:v>44651</c:v>
                </c:pt>
              </c:numCache>
            </c:numRef>
          </c:cat>
          <c:val>
            <c:numRef>
              <c:f>'Gráficos Informe'!$C$65:$I$65</c:f>
              <c:numCache>
                <c:formatCode>0.00</c:formatCode>
                <c:ptCount val="7"/>
                <c:pt idx="0">
                  <c:v>0.8081035258483551</c:v>
                </c:pt>
                <c:pt idx="1">
                  <c:v>0.87000590791066801</c:v>
                </c:pt>
                <c:pt idx="2">
                  <c:v>0.89871079495821771</c:v>
                </c:pt>
                <c:pt idx="3">
                  <c:v>0.94775783668824987</c:v>
                </c:pt>
                <c:pt idx="4">
                  <c:v>0.81726782690962563</c:v>
                </c:pt>
                <c:pt idx="5">
                  <c:v>0.79750214490274129</c:v>
                </c:pt>
                <c:pt idx="6">
                  <c:v>0.85537283429649269</c:v>
                </c:pt>
              </c:numCache>
            </c:numRef>
          </c:val>
          <c:smooth val="0"/>
          <c:extLst>
            <c:ext xmlns:c16="http://schemas.microsoft.com/office/drawing/2014/chart" uri="{C3380CC4-5D6E-409C-BE32-E72D297353CC}">
              <c16:uniqueId val="{00000000-8E0E-4A08-8362-79FBDA314982}"/>
            </c:ext>
          </c:extLst>
        </c:ser>
        <c:dLbls>
          <c:showLegendKey val="0"/>
          <c:showVal val="0"/>
          <c:showCatName val="0"/>
          <c:showSerName val="0"/>
          <c:showPercent val="0"/>
          <c:showBubbleSize val="0"/>
        </c:dLbls>
        <c:smooth val="0"/>
        <c:axId val="1949441679"/>
        <c:axId val="1949430863"/>
      </c:lineChart>
      <c:catAx>
        <c:axId val="194944167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Verdana" panose="020B0604030504040204" pitchFamily="34" charset="0"/>
                <a:cs typeface="+mn-cs"/>
              </a:defRPr>
            </a:pPr>
            <a:endParaRPr lang="es-CL"/>
          </a:p>
        </c:txPr>
        <c:crossAx val="1949430863"/>
        <c:crosses val="autoZero"/>
        <c:auto val="0"/>
        <c:lblAlgn val="ctr"/>
        <c:lblOffset val="100"/>
        <c:noMultiLvlLbl val="0"/>
      </c:catAx>
      <c:valAx>
        <c:axId val="1949430863"/>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Verdana" panose="020B0604030504040204" pitchFamily="34" charset="0"/>
                <a:cs typeface="+mn-cs"/>
              </a:defRPr>
            </a:pPr>
            <a:endParaRPr lang="es-CL"/>
          </a:p>
        </c:txPr>
        <c:crossAx val="1949441679"/>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Verdana" panose="020B0604030504040204" pitchFamily="34" charset="0"/>
              <a:cs typeface="+mn-cs"/>
            </a:defRPr>
          </a:pPr>
          <a:endParaRPr lang="es-CL"/>
        </a:p>
      </c:txPr>
    </c:legend>
    <c:plotVisOnly val="1"/>
    <c:dispBlanksAs val="gap"/>
    <c:showDLblsOverMax val="0"/>
  </c:chart>
  <c:spPr>
    <a:noFill/>
    <a:ln w="9525" cap="flat" cmpd="sng" algn="ctr">
      <a:noFill/>
      <a:round/>
    </a:ln>
    <a:effectLst/>
  </c:spPr>
  <c:txPr>
    <a:bodyPr/>
    <a:lstStyle/>
    <a:p>
      <a:pPr>
        <a:defRPr sz="800" baseline="0">
          <a:solidFill>
            <a:srgbClr val="2E3B5D"/>
          </a:solidFill>
          <a:latin typeface="Myriad Pro" panose="020B0503030403020204" pitchFamily="34" charset="0"/>
          <a:ea typeface="Verdana" panose="020B0604030504040204" pitchFamily="34" charset="0"/>
        </a:defRPr>
      </a:pPr>
      <a:endParaRPr lang="es-C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'Gráficos Informe'!$B$86</c:f>
              <c:strCache>
                <c:ptCount val="1"/>
                <c:pt idx="0">
                  <c:v>Rentabilidad total del activo</c:v>
                </c:pt>
              </c:strCache>
            </c:strRef>
          </c:tx>
          <c:spPr>
            <a:ln w="28575" cap="rnd">
              <a:solidFill>
                <a:srgbClr val="24224F"/>
              </a:solidFill>
              <a:round/>
            </a:ln>
            <a:effectLst/>
          </c:spPr>
          <c:marker>
            <c:symbol val="none"/>
          </c:marker>
          <c:cat>
            <c:numRef>
              <c:f>'Gráficos Informe'!$C$85:$I$85</c:f>
              <c:numCache>
                <c:formatCode>mmm\-yy</c:formatCode>
                <c:ptCount val="7"/>
                <c:pt idx="0">
                  <c:v>42735</c:v>
                </c:pt>
                <c:pt idx="1">
                  <c:v>43100</c:v>
                </c:pt>
                <c:pt idx="2">
                  <c:v>43465</c:v>
                </c:pt>
                <c:pt idx="3">
                  <c:v>43830</c:v>
                </c:pt>
                <c:pt idx="4">
                  <c:v>44196</c:v>
                </c:pt>
                <c:pt idx="5">
                  <c:v>44561</c:v>
                </c:pt>
                <c:pt idx="6">
                  <c:v>44651</c:v>
                </c:pt>
              </c:numCache>
            </c:numRef>
          </c:cat>
          <c:val>
            <c:numRef>
              <c:f>'Gráficos Informe'!$C$86:$I$86</c:f>
              <c:numCache>
                <c:formatCode>0.00%</c:formatCode>
                <c:ptCount val="7"/>
                <c:pt idx="0">
                  <c:v>-3.3268225063576587E-2</c:v>
                </c:pt>
                <c:pt idx="1">
                  <c:v>5.3302334935084834E-3</c:v>
                </c:pt>
                <c:pt idx="2">
                  <c:v>2.0368812911923113E-2</c:v>
                </c:pt>
                <c:pt idx="3">
                  <c:v>2.9472317615239867E-2</c:v>
                </c:pt>
                <c:pt idx="4">
                  <c:v>4.4007072335980855E-3</c:v>
                </c:pt>
                <c:pt idx="5">
                  <c:v>9.724178014137436E-3</c:v>
                </c:pt>
                <c:pt idx="6">
                  <c:v>8.8303264373248147E-3</c:v>
                </c:pt>
              </c:numCache>
            </c:numRef>
          </c:val>
          <c:smooth val="0"/>
          <c:extLst>
            <c:ext xmlns:c16="http://schemas.microsoft.com/office/drawing/2014/chart" uri="{C3380CC4-5D6E-409C-BE32-E72D297353CC}">
              <c16:uniqueId val="{00000000-DC56-4E73-AD6D-AF7C23F1A6ED}"/>
            </c:ext>
          </c:extLst>
        </c:ser>
        <c:ser>
          <c:idx val="1"/>
          <c:order val="1"/>
          <c:tx>
            <c:strRef>
              <c:f>'Gráficos Informe'!$B$87</c:f>
              <c:strCache>
                <c:ptCount val="1"/>
                <c:pt idx="0">
                  <c:v>Rentabilidad sobre Patrimonio</c:v>
                </c:pt>
              </c:strCache>
            </c:strRef>
          </c:tx>
          <c:spPr>
            <a:ln w="28575" cap="rnd">
              <a:solidFill>
                <a:srgbClr val="BB1823"/>
              </a:solidFill>
              <a:round/>
            </a:ln>
            <a:effectLst/>
          </c:spPr>
          <c:marker>
            <c:symbol val="none"/>
          </c:marker>
          <c:cat>
            <c:numRef>
              <c:f>'Gráficos Informe'!$C$85:$I$85</c:f>
              <c:numCache>
                <c:formatCode>mmm\-yy</c:formatCode>
                <c:ptCount val="7"/>
                <c:pt idx="0">
                  <c:v>42735</c:v>
                </c:pt>
                <c:pt idx="1">
                  <c:v>43100</c:v>
                </c:pt>
                <c:pt idx="2">
                  <c:v>43465</c:v>
                </c:pt>
                <c:pt idx="3">
                  <c:v>43830</c:v>
                </c:pt>
                <c:pt idx="4">
                  <c:v>44196</c:v>
                </c:pt>
                <c:pt idx="5">
                  <c:v>44561</c:v>
                </c:pt>
                <c:pt idx="6">
                  <c:v>44651</c:v>
                </c:pt>
              </c:numCache>
            </c:numRef>
          </c:cat>
          <c:val>
            <c:numRef>
              <c:f>'Gráficos Informe'!$C$87:$I$87</c:f>
              <c:numCache>
                <c:formatCode>0.00%</c:formatCode>
                <c:ptCount val="7"/>
                <c:pt idx="0">
                  <c:v>-0.20745572850883554</c:v>
                </c:pt>
                <c:pt idx="1">
                  <c:v>3.3470413699182917E-2</c:v>
                </c:pt>
                <c:pt idx="2">
                  <c:v>0.11644217485245802</c:v>
                </c:pt>
                <c:pt idx="3">
                  <c:v>0.1464653398121632</c:v>
                </c:pt>
                <c:pt idx="4">
                  <c:v>1.9438015571948623E-2</c:v>
                </c:pt>
                <c:pt idx="5">
                  <c:v>3.4972891594338675E-2</c:v>
                </c:pt>
                <c:pt idx="6">
                  <c:v>3.1564112217675425E-2</c:v>
                </c:pt>
              </c:numCache>
            </c:numRef>
          </c:val>
          <c:smooth val="0"/>
          <c:extLst>
            <c:ext xmlns:c16="http://schemas.microsoft.com/office/drawing/2014/chart" uri="{C3380CC4-5D6E-409C-BE32-E72D297353CC}">
              <c16:uniqueId val="{00000001-DC56-4E73-AD6D-AF7C23F1A6ED}"/>
            </c:ext>
          </c:extLst>
        </c:ser>
        <c:dLbls>
          <c:showLegendKey val="0"/>
          <c:showVal val="0"/>
          <c:showCatName val="0"/>
          <c:showSerName val="0"/>
          <c:showPercent val="0"/>
          <c:showBubbleSize val="0"/>
        </c:dLbls>
        <c:smooth val="0"/>
        <c:axId val="2065141775"/>
        <c:axId val="2065143023"/>
      </c:lineChart>
      <c:catAx>
        <c:axId val="2065141775"/>
        <c:scaling>
          <c:orientation val="minMax"/>
        </c:scaling>
        <c:delete val="0"/>
        <c:axPos val="b"/>
        <c:numFmt formatCode="mmm\-yy"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Verdana" panose="020B0604030504040204" pitchFamily="34" charset="0"/>
                <a:cs typeface="+mn-cs"/>
              </a:defRPr>
            </a:pPr>
            <a:endParaRPr lang="es-CL"/>
          </a:p>
        </c:txPr>
        <c:crossAx val="2065143023"/>
        <c:crosses val="autoZero"/>
        <c:auto val="0"/>
        <c:lblAlgn val="ctr"/>
        <c:lblOffset val="100"/>
        <c:noMultiLvlLbl val="0"/>
      </c:catAx>
      <c:valAx>
        <c:axId val="20651430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Verdana" panose="020B0604030504040204" pitchFamily="34" charset="0"/>
                <a:cs typeface="+mn-cs"/>
              </a:defRPr>
            </a:pPr>
            <a:endParaRPr lang="es-CL"/>
          </a:p>
        </c:txPr>
        <c:crossAx val="2065141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Verdana" panose="020B0604030504040204" pitchFamily="34" charset="0"/>
              <a:cs typeface="+mn-cs"/>
            </a:defRPr>
          </a:pPr>
          <a:endParaRPr lang="es-CL"/>
        </a:p>
      </c:txPr>
    </c:legend>
    <c:plotVisOnly val="1"/>
    <c:dispBlanksAs val="gap"/>
    <c:showDLblsOverMax val="0"/>
  </c:chart>
  <c:spPr>
    <a:noFill/>
    <a:ln w="9525" cap="flat" cmpd="sng" algn="ctr">
      <a:noFill/>
      <a:round/>
    </a:ln>
    <a:effectLst/>
  </c:spPr>
  <c:txPr>
    <a:bodyPr/>
    <a:lstStyle/>
    <a:p>
      <a:pPr>
        <a:defRPr sz="800" baseline="0">
          <a:solidFill>
            <a:srgbClr val="2E3B5D"/>
          </a:solidFill>
          <a:latin typeface="Myriad Pro" panose="020B0503030403020204" pitchFamily="34" charset="0"/>
          <a:ea typeface="Verdana" panose="020B0604030504040204" pitchFamily="34" charset="0"/>
        </a:defRPr>
      </a:pPr>
      <a:endParaRPr lang="es-C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'Gráficos Informe'!$B$109</c:f>
              <c:strCache>
                <c:ptCount val="1"/>
                <c:pt idx="0">
                  <c:v>Eficiencia</c:v>
                </c:pt>
              </c:strCache>
            </c:strRef>
          </c:tx>
          <c:spPr>
            <a:ln w="28575" cap="rnd">
              <a:solidFill>
                <a:srgbClr val="AF1923"/>
              </a:solidFill>
              <a:round/>
            </a:ln>
            <a:effectLst/>
          </c:spPr>
          <c:marker>
            <c:symbol val="none"/>
          </c:marker>
          <c:cat>
            <c:numRef>
              <c:f>'Gráficos Informe'!$C$108:$I$108</c:f>
              <c:numCache>
                <c:formatCode>mmm\-yy</c:formatCode>
                <c:ptCount val="7"/>
                <c:pt idx="0">
                  <c:v>42735</c:v>
                </c:pt>
                <c:pt idx="1">
                  <c:v>43100</c:v>
                </c:pt>
                <c:pt idx="2">
                  <c:v>43465</c:v>
                </c:pt>
                <c:pt idx="3">
                  <c:v>43830</c:v>
                </c:pt>
                <c:pt idx="4">
                  <c:v>44196</c:v>
                </c:pt>
                <c:pt idx="5">
                  <c:v>44561</c:v>
                </c:pt>
                <c:pt idx="6">
                  <c:v>44651</c:v>
                </c:pt>
              </c:numCache>
            </c:numRef>
          </c:cat>
          <c:val>
            <c:numRef>
              <c:f>'Gráficos Informe'!$C$109:$I$109</c:f>
              <c:numCache>
                <c:formatCode>0.00%</c:formatCode>
                <c:ptCount val="7"/>
                <c:pt idx="0">
                  <c:v>0.37941050894388711</c:v>
                </c:pt>
                <c:pt idx="1">
                  <c:v>0.36923028868390922</c:v>
                </c:pt>
                <c:pt idx="2">
                  <c:v>0.37985212324555157</c:v>
                </c:pt>
                <c:pt idx="3">
                  <c:v>0.34517747918967301</c:v>
                </c:pt>
                <c:pt idx="4">
                  <c:v>0.34677407826118217</c:v>
                </c:pt>
                <c:pt idx="5">
                  <c:v>0.38511103241466516</c:v>
                </c:pt>
                <c:pt idx="6">
                  <c:v>0.38817794256067789</c:v>
                </c:pt>
              </c:numCache>
            </c:numRef>
          </c:val>
          <c:smooth val="0"/>
          <c:extLst>
            <c:ext xmlns:c16="http://schemas.microsoft.com/office/drawing/2014/chart" uri="{C3380CC4-5D6E-409C-BE32-E72D297353CC}">
              <c16:uniqueId val="{00000000-BDF6-48FF-AED2-1ADC0E8CDC3C}"/>
            </c:ext>
          </c:extLst>
        </c:ser>
        <c:dLbls>
          <c:showLegendKey val="0"/>
          <c:showVal val="0"/>
          <c:showCatName val="0"/>
          <c:showSerName val="0"/>
          <c:showPercent val="0"/>
          <c:showBubbleSize val="0"/>
        </c:dLbls>
        <c:smooth val="0"/>
        <c:axId val="1715361023"/>
        <c:axId val="1715374335"/>
      </c:lineChart>
      <c:catAx>
        <c:axId val="171536102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Verdana" panose="020B0604030504040204" pitchFamily="34" charset="0"/>
                <a:cs typeface="+mn-cs"/>
              </a:defRPr>
            </a:pPr>
            <a:endParaRPr lang="es-CL"/>
          </a:p>
        </c:txPr>
        <c:crossAx val="1715374335"/>
        <c:crosses val="autoZero"/>
        <c:auto val="0"/>
        <c:lblAlgn val="ctr"/>
        <c:lblOffset val="100"/>
        <c:noMultiLvlLbl val="0"/>
      </c:catAx>
      <c:valAx>
        <c:axId val="17153743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Verdana" panose="020B0604030504040204" pitchFamily="34" charset="0"/>
                <a:cs typeface="+mn-cs"/>
              </a:defRPr>
            </a:pPr>
            <a:endParaRPr lang="es-CL"/>
          </a:p>
        </c:txPr>
        <c:crossAx val="17153610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2E3B5D"/>
              </a:solidFill>
              <a:latin typeface="Myriad Pro" panose="020B0503030403020204" pitchFamily="34" charset="0"/>
              <a:ea typeface="Verdana" panose="020B0604030504040204" pitchFamily="34" charset="0"/>
              <a:cs typeface="+mn-cs"/>
            </a:defRPr>
          </a:pPr>
          <a:endParaRPr lang="es-CL"/>
        </a:p>
      </c:txPr>
    </c:legend>
    <c:plotVisOnly val="1"/>
    <c:dispBlanksAs val="gap"/>
    <c:showDLblsOverMax val="0"/>
  </c:chart>
  <c:spPr>
    <a:noFill/>
    <a:ln w="9525" cap="flat" cmpd="sng" algn="ctr">
      <a:noFill/>
      <a:round/>
    </a:ln>
    <a:effectLst/>
  </c:spPr>
  <c:txPr>
    <a:bodyPr/>
    <a:lstStyle/>
    <a:p>
      <a:pPr>
        <a:defRPr sz="800" baseline="0">
          <a:solidFill>
            <a:srgbClr val="2E3B5D"/>
          </a:solidFill>
          <a:latin typeface="Myriad Pro" panose="020B0503030403020204" pitchFamily="34" charset="0"/>
          <a:ea typeface="Verdana" panose="020B0604030504040204" pitchFamily="34" charset="0"/>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9E0905DB7D4E84E80456A9A86E9113E" ma:contentTypeVersion="16" ma:contentTypeDescription="Crear nuevo documento." ma:contentTypeScope="" ma:versionID="1523beea96ae47efd442ff91e7e08e31">
  <xsd:schema xmlns:xsd="http://www.w3.org/2001/XMLSchema" xmlns:xs="http://www.w3.org/2001/XMLSchema" xmlns:p="http://schemas.microsoft.com/office/2006/metadata/properties" xmlns:ns2="062e06a3-a47a-4d74-ab6e-dc8498fe9bfc" xmlns:ns3="29e16e2b-536e-4ba6-8b65-f83ed8ecd0d0" targetNamespace="http://schemas.microsoft.com/office/2006/metadata/properties" ma:root="true" ma:fieldsID="96b4bed0b609e5128fab5482f9308ffe" ns2:_="" ns3:_="">
    <xsd:import namespace="062e06a3-a47a-4d74-ab6e-dc8498fe9bfc"/>
    <xsd:import namespace="29e16e2b-536e-4ba6-8b65-f83ed8ecd0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2e06a3-a47a-4d74-ab6e-dc8498fe9b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3c9f0392-8baa-491d-b2a2-c4fb6934a46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9e16e2b-536e-4ba6-8b65-f83ed8ecd0d0"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e5f90e3b-85a9-47ab-be84-b1eb36ad7fe0}" ma:internalName="TaxCatchAll" ma:showField="CatchAllData" ma:web="29e16e2b-536e-4ba6-8b65-f83ed8ecd0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62e06a3-a47a-4d74-ab6e-dc8498fe9bfc">
      <Terms xmlns="http://schemas.microsoft.com/office/infopath/2007/PartnerControls"/>
    </lcf76f155ced4ddcb4097134ff3c332f>
    <TaxCatchAll xmlns="29e16e2b-536e-4ba6-8b65-f83ed8ecd0d0" xsi:nil="true"/>
  </documentManagement>
</p:properties>
</file>

<file path=customXml/itemProps1.xml><?xml version="1.0" encoding="utf-8"?>
<ds:datastoreItem xmlns:ds="http://schemas.openxmlformats.org/officeDocument/2006/customXml" ds:itemID="{37BBDDA3-D744-5842-8BF0-CD2BFCE4E29D}">
  <ds:schemaRefs>
    <ds:schemaRef ds:uri="http://schemas.openxmlformats.org/officeDocument/2006/bibliography"/>
  </ds:schemaRefs>
</ds:datastoreItem>
</file>

<file path=customXml/itemProps2.xml><?xml version="1.0" encoding="utf-8"?>
<ds:datastoreItem xmlns:ds="http://schemas.openxmlformats.org/officeDocument/2006/customXml" ds:itemID="{726EABF5-61BE-4FF4-A144-7009DD10FA9E}">
  <ds:schemaRefs>
    <ds:schemaRef ds:uri="http://schemas.microsoft.com/sharepoint/v3/contenttype/forms"/>
  </ds:schemaRefs>
</ds:datastoreItem>
</file>

<file path=customXml/itemProps3.xml><?xml version="1.0" encoding="utf-8"?>
<ds:datastoreItem xmlns:ds="http://schemas.openxmlformats.org/officeDocument/2006/customXml" ds:itemID="{335A88AF-809D-4D73-938D-92CD1D45E8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2e06a3-a47a-4d74-ab6e-dc8498fe9bfc"/>
    <ds:schemaRef ds:uri="29e16e2b-536e-4ba6-8b65-f83ed8ecd0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2305B9-7641-4FBC-A2BF-78C2E24EE30A}">
  <ds:schemaRefs>
    <ds:schemaRef ds:uri="http://schemas.microsoft.com/office/2006/metadata/properties"/>
    <ds:schemaRef ds:uri="http://schemas.microsoft.com/office/infopath/2007/PartnerControls"/>
    <ds:schemaRef ds:uri="062e06a3-a47a-4d74-ab6e-dc8498fe9bfc"/>
    <ds:schemaRef ds:uri="29e16e2b-536e-4ba6-8b65-f83ed8ecd0d0"/>
  </ds:schemaRefs>
</ds:datastoreItem>
</file>

<file path=docProps/app.xml><?xml version="1.0" encoding="utf-8"?>
<Properties xmlns="http://schemas.openxmlformats.org/officeDocument/2006/extended-properties" xmlns:vt="http://schemas.openxmlformats.org/officeDocument/2006/docPropsVTypes">
  <Template>Plantilla Informe_2</Template>
  <TotalTime>2218</TotalTime>
  <Pages>1</Pages>
  <Words>5699</Words>
  <Characters>31347</Characters>
  <Application>Microsoft Office Word</Application>
  <DocSecurity>0</DocSecurity>
  <Lines>261</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36973</CharactersWithSpaces>
  <SharedDoc>false</SharedDoc>
  <HLinks>
    <vt:vector size="18" baseType="variant">
      <vt:variant>
        <vt:i4>3801181</vt:i4>
      </vt:variant>
      <vt:variant>
        <vt:i4>6</vt:i4>
      </vt:variant>
      <vt:variant>
        <vt:i4>0</vt:i4>
      </vt:variant>
      <vt:variant>
        <vt:i4>5</vt:i4>
      </vt:variant>
      <vt:variant>
        <vt:lpwstr>mailto:josemiguel.campusano@humphreys.cl</vt:lpwstr>
      </vt:variant>
      <vt:variant>
        <vt:lpwstr/>
      </vt:variant>
      <vt:variant>
        <vt:i4>4259882</vt:i4>
      </vt:variant>
      <vt:variant>
        <vt:i4>3</vt:i4>
      </vt:variant>
      <vt:variant>
        <vt:i4>0</vt:i4>
      </vt:variant>
      <vt:variant>
        <vt:i4>5</vt:i4>
      </vt:variant>
      <vt:variant>
        <vt:lpwstr>mailto:ximena.oyarce@humphreys.cl</vt:lpwstr>
      </vt:variant>
      <vt:variant>
        <vt:lpwstr/>
      </vt:variant>
      <vt:variant>
        <vt:i4>2424904</vt:i4>
      </vt:variant>
      <vt:variant>
        <vt:i4>0</vt:i4>
      </vt:variant>
      <vt:variant>
        <vt:i4>0</vt:i4>
      </vt:variant>
      <vt:variant>
        <vt:i4>5</vt:i4>
      </vt:variant>
      <vt:variant>
        <vt:lpwstr>mailto:alvaro.reyes@humphreys.cl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Vaccaro</dc:creator>
  <cp:keywords/>
  <dc:description/>
  <cp:lastModifiedBy>Margarita Andrade</cp:lastModifiedBy>
  <cp:revision>550</cp:revision>
  <cp:lastPrinted>2022-09-08T04:34:00Z</cp:lastPrinted>
  <dcterms:created xsi:type="dcterms:W3CDTF">2021-08-13T12:27:00Z</dcterms:created>
  <dcterms:modified xsi:type="dcterms:W3CDTF">2022-09-08T04:37:00Z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0x01010049E0905DB7D4E84E80456A9A86E9113E</vt:lpwstr>
  </property>
  <property fmtid="{D5CDD505-2E9C-101B-9397-08002B2CF9AE}" pid="3" name="MediaServiceImageTags">
    <vt:lpwstr/>
  </property>
</Properties>
</file>