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EF56E" w14:textId="76F6AEFE" w:rsidR="00366E6F" w:rsidRDefault="00366E6F" w:rsidP="00CA17FC">
      <w:pPr>
        <w:pStyle w:val="Ttulo2"/>
      </w:pPr>
      <w:r w:rsidRPr="00366E6F">
        <w:rPr>
          <w:noProof/>
        </w:rPr>
        <mc:AlternateContent>
          <mc:Choice Requires="wps">
            <w:drawing>
              <wp:anchor distT="0" distB="0" distL="114300" distR="114300" simplePos="0" relativeHeight="251658240" behindDoc="0" locked="1" layoutInCell="1" allowOverlap="0" wp14:anchorId="035FDC2D" wp14:editId="53FA0186">
                <wp:simplePos x="0" y="0"/>
                <wp:positionH relativeFrom="page">
                  <wp:posOffset>5524500</wp:posOffset>
                </wp:positionH>
                <wp:positionV relativeFrom="page">
                  <wp:posOffset>2238375</wp:posOffset>
                </wp:positionV>
                <wp:extent cx="2571750" cy="197040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571750" cy="1970405"/>
                        </a:xfrm>
                        <a:prstGeom prst="rect">
                          <a:avLst/>
                        </a:prstGeom>
                        <a:noFill/>
                        <a:ln w="6350">
                          <a:noFill/>
                        </a:ln>
                      </wps:spPr>
                      <wps:txbx>
                        <w:txbxContent>
                          <w:p w14:paraId="250D8D5A" w14:textId="44B34E4A" w:rsidR="002776AA" w:rsidRPr="00020FBF" w:rsidRDefault="002776AA" w:rsidP="00AC0DB7">
                            <w:pPr>
                              <w:pStyle w:val="RaznReseaHumphreys"/>
                              <w:rPr>
                                <w:rFonts w:ascii="Verdana" w:eastAsia="Times New Roman" w:hAnsi="Verdana" w:cs="Times New Roman"/>
                                <w:sz w:val="20"/>
                                <w:szCs w:val="20"/>
                                <w:lang w:val="es-ES" w:eastAsia="es-ES"/>
                              </w:rPr>
                            </w:pPr>
                          </w:p>
                          <w:p w14:paraId="7A34C0C2" w14:textId="77777777" w:rsidR="002776AA" w:rsidRPr="007D343C" w:rsidRDefault="002776AA" w:rsidP="00CA17FC">
                            <w:pPr>
                              <w:pStyle w:val="RaznReseaHumphreys"/>
                            </w:pPr>
                          </w:p>
                          <w:p w14:paraId="06E8E890" w14:textId="77777777" w:rsidR="002776AA" w:rsidRPr="007D343C" w:rsidRDefault="002776AA" w:rsidP="00CA17FC">
                            <w:pPr>
                              <w:pStyle w:val="RaznReseaHumphrey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FDC2D" id="_x0000_t202" coordsize="21600,21600" o:spt="202" path="m,l,21600r21600,l21600,xe">
                <v:stroke joinstyle="miter"/>
                <v:path gradientshapeok="t" o:connecttype="rect"/>
              </v:shapetype>
              <v:shape id="Cuadro de texto 5" o:spid="_x0000_s1026" type="#_x0000_t202" style="position:absolute;left:0;text-align:left;margin-left:435pt;margin-top:176.25pt;width:202.5pt;height:15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roFgIAAC0EAAAOAAAAZHJzL2Uyb0RvYy54bWysU8tu2zAQvBfoPxC815JcO04Ey4GbwEUB&#10;IwngFDnTFGkJoLgsSVtyv75LSn407anohdrlrPYxO5zfd40iB2FdDbqg2SilRGgOZa13Bf3+uvp0&#10;S4nzTJdMgRYFPQpH7xcfP8xbk4sxVKBKYQkm0S5vTUEr702eJI5XomFuBEZoBCXYhnl07S4pLWsx&#10;e6OScZreJC3Y0ljgwjm8fexBuoj5pRTcP0vphCeqoNibj6eN5zacyWLO8p1lpqr50Ab7hy4aVmss&#10;ek71yDwje1v/kaqpuQUH0o84NAlIWXMRZ8BpsvTdNJuKGRFnQXKcOdPk/l9a/nTYmBdLfPcFOlxg&#10;IKQ1Lnd4GebppG3CFzsliCOFxzNtovOE4+V4OstmU4Q4YtndLJ2k05AnufxurPNfBTQkGAW1uJdI&#10;Fzusne9DTyGhmoZVrVTcjdKkLejNZ8z/G4LJlcYal2aD5bttN0ywhfKIg1nod+4MX9VYfM2cf2EW&#10;l4wNo3D9Mx5SARaBwaKkAvvzb/chHrlHlJIWRVNQ92PPrKBEfdO4lbtsMgkqi85kOhujY6+R7TWi&#10;980DoC4zfCKGRzPEe3UypYXmDfW9DFURYppj7YL6k/ngeynj++BiuYxBqCvD/FpvDA+pA2mB2tfu&#10;jVkz8O9xdU9wkhfL362hj+3pXu49yDruKBDcszrwjpqMWx7eTxD9tR+jLq988QsAAP//AwBQSwME&#10;FAAGAAgAAAAhAJ66MrbjAAAADAEAAA8AAABkcnMvZG93bnJldi54bWxMj81OwzAQhO9IvIO1SNyo&#10;g1HSKGRTVZEqJASHll64bWI3ifBPiN028PS4J3qcndHsN+VqNpqd1OQHZxEeFwkwZVsnB9sh7D82&#10;DzkwH8hK0s4qhB/lYVXd3pRUSHe2W3XahY7FEusLQuhDGAvOfdsrQ37hRmWjd3CToRDl1HE50TmW&#10;G81FkmTc0GDjh55GVfeq/dodDcJrvXmnbSNM/qvrl7fDevzef6aI93fz+hlYUHP4D8MFP6JDFZka&#10;d7TSM42QL5O4JSA8pSIFdkmIZRpPDUKWiRx4VfLrEdUfAAAA//8DAFBLAQItABQABgAIAAAAIQC2&#10;gziS/gAAAOEBAAATAAAAAAAAAAAAAAAAAAAAAABbQ29udGVudF9UeXBlc10ueG1sUEsBAi0AFAAG&#10;AAgAAAAhADj9If/WAAAAlAEAAAsAAAAAAAAAAAAAAAAALwEAAF9yZWxzLy5yZWxzUEsBAi0AFAAG&#10;AAgAAAAhAKnYuugWAgAALQQAAA4AAAAAAAAAAAAAAAAALgIAAGRycy9lMm9Eb2MueG1sUEsBAi0A&#10;FAAGAAgAAAAhAJ66MrbjAAAADAEAAA8AAAAAAAAAAAAAAAAAcAQAAGRycy9kb3ducmV2LnhtbFBL&#10;BQYAAAAABAAEAPMAAACABQAAAAA=&#10;" o:allowoverlap="f" filled="f" stroked="f" strokeweight=".5pt">
                <v:textbox>
                  <w:txbxContent>
                    <w:p w14:paraId="250D8D5A" w14:textId="44B34E4A" w:rsidR="002776AA" w:rsidRPr="00020FBF" w:rsidRDefault="002776AA" w:rsidP="00AC0DB7">
                      <w:pPr>
                        <w:pStyle w:val="RaznReseaHumphreys"/>
                        <w:rPr>
                          <w:rFonts w:ascii="Verdana" w:eastAsia="Times New Roman" w:hAnsi="Verdana" w:cs="Times New Roman"/>
                          <w:sz w:val="20"/>
                          <w:szCs w:val="20"/>
                          <w:lang w:val="es-ES" w:eastAsia="es-ES"/>
                        </w:rPr>
                      </w:pPr>
                    </w:p>
                    <w:p w14:paraId="7A34C0C2" w14:textId="77777777" w:rsidR="002776AA" w:rsidRPr="007D343C" w:rsidRDefault="002776AA" w:rsidP="00CA17FC">
                      <w:pPr>
                        <w:pStyle w:val="RaznReseaHumphreys"/>
                      </w:pPr>
                    </w:p>
                    <w:p w14:paraId="06E8E890" w14:textId="77777777" w:rsidR="002776AA" w:rsidRPr="007D343C" w:rsidRDefault="002776AA" w:rsidP="00CA17FC">
                      <w:pPr>
                        <w:pStyle w:val="RaznReseaHumphreys"/>
                      </w:pPr>
                    </w:p>
                  </w:txbxContent>
                </v:textbox>
                <w10:wrap anchorx="page" anchory="page"/>
                <w10:anchorlock/>
              </v:shape>
            </w:pict>
          </mc:Fallback>
        </mc:AlternateContent>
      </w:r>
      <w:r w:rsidR="006822F6" w:rsidRPr="00366E6F">
        <w:rPr>
          <w:noProof/>
        </w:rPr>
        <mc:AlternateContent>
          <mc:Choice Requires="wps">
            <w:drawing>
              <wp:anchor distT="0" distB="0" distL="114300" distR="114300" simplePos="0" relativeHeight="251658242" behindDoc="0" locked="1" layoutInCell="1" allowOverlap="0" wp14:anchorId="3F521AD1" wp14:editId="100E350C">
                <wp:simplePos x="0" y="0"/>
                <wp:positionH relativeFrom="page">
                  <wp:posOffset>5577840</wp:posOffset>
                </wp:positionH>
                <wp:positionV relativeFrom="page">
                  <wp:posOffset>8012430</wp:posOffset>
                </wp:positionV>
                <wp:extent cx="2266950" cy="115316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266950" cy="1153160"/>
                        </a:xfrm>
                        <a:prstGeom prst="rect">
                          <a:avLst/>
                        </a:prstGeom>
                        <a:noFill/>
                        <a:ln w="6350">
                          <a:noFill/>
                        </a:ln>
                      </wps:spPr>
                      <wps:txbx>
                        <w:txbxContent>
                          <w:p w14:paraId="06F20357" w14:textId="666DD4D8" w:rsidR="00FE14F2" w:rsidRPr="00B03E32" w:rsidRDefault="00A66D21" w:rsidP="00366E6F">
                            <w:pPr>
                              <w:rPr>
                                <w:color w:val="FFFFFF" w:themeColor="background1"/>
                                <w:lang w:val="es-ES"/>
                              </w:rPr>
                            </w:pPr>
                            <w:r>
                              <w:rPr>
                                <w:color w:val="FFFFFF" w:themeColor="background1"/>
                                <w:lang w:val="es-ES"/>
                              </w:rPr>
                              <w:t>Diciembre</w:t>
                            </w:r>
                            <w:r w:rsidR="00FE14F2" w:rsidRPr="00FE14F2">
                              <w:rPr>
                                <w:color w:val="FFFFFF" w:themeColor="background1"/>
                                <w:lang w:val="es-ES"/>
                              </w:rPr>
                              <w:t xml:space="preserve"> 202</w:t>
                            </w:r>
                            <w:r w:rsidR="00FE14F2">
                              <w:rPr>
                                <w:color w:val="FFFFFF" w:themeColor="background1"/>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1AD1" id="Cuadro de texto 7" o:spid="_x0000_s1027" type="#_x0000_t202" style="position:absolute;left:0;text-align:left;margin-left:439.2pt;margin-top:630.9pt;width:178.5pt;height:90.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BtGQIAADQEAAAOAAAAZHJzL2Uyb0RvYy54bWysU01vGyEQvVfqf0Dc6/U6tpu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F4ORpNp3cTdHH05fnkJp8mYLPLc+t8+CpAk2iU1CEvCS62&#10;X/mAJTH0FBKrGVg2SiVulCFtSac3mP83D75QBh9emo1W6DYdaaqrQTZQHXA+Bz313vJlgz2smA8v&#10;zCHX2DfqNzzjIhVgLThalNTgfv7tPsYjBeilpEXtlNT/2DEnKFHfDJJzl4/HUWzpMJ58HuHBXXs2&#10;1x6z0w+A8szxp1iezBgf1MmUDvQbynwRq6KLGY61SxpO5kPoFY3fhIvFIgWhvCwLK7O2PKaO2EWE&#10;X7s35uyRhoAMPsFJZax4x0Yf26O+2AWQTaIq4tyjeoQfpZkYPH6jqP3rc4q6fPb5LwAAAP//AwBQ&#10;SwMEFAAGAAgAAAAhABm4wcDkAAAADgEAAA8AAABkcnMvZG93bnJldi54bWxMj0FPwzAMhe9I/IfI&#10;SNxYuq4bVWk6TZUmJASHjV24uY3XVjRJabKt8OvxTnCz/Z6ev5evJ9OLM42+c1bBfBaBIFs73dlG&#10;weF9+5CC8AGtxt5ZUvBNHtbF7U2OmXYXu6PzPjSCQ6zPUEEbwpBJ6euWDPqZG8iydnSjwcDr2Eg9&#10;4oXDTS/jKFpJg53lDy0OVLZUf+5PRsFLuX3DXRWb9Kcvn1+Pm+Hr8LFU6v5u2jyBCDSFPzNc8Rkd&#10;Cmaq3MlqL3oF6WOasJWFeDXnEldLvFjyreIpSRYJyCKX/2sUvwAAAP//AwBQSwECLQAUAAYACAAA&#10;ACEAtoM4kv4AAADhAQAAEwAAAAAAAAAAAAAAAAAAAAAAW0NvbnRlbnRfVHlwZXNdLnhtbFBLAQIt&#10;ABQABgAIAAAAIQA4/SH/1gAAAJQBAAALAAAAAAAAAAAAAAAAAC8BAABfcmVscy8ucmVsc1BLAQIt&#10;ABQABgAIAAAAIQA6AvBtGQIAADQEAAAOAAAAAAAAAAAAAAAAAC4CAABkcnMvZTJvRG9jLnhtbFBL&#10;AQItABQABgAIAAAAIQAZuMHA5AAAAA4BAAAPAAAAAAAAAAAAAAAAAHMEAABkcnMvZG93bnJldi54&#10;bWxQSwUGAAAAAAQABADzAAAAhAUAAAAA&#10;" o:allowoverlap="f" filled="f" stroked="f" strokeweight=".5pt">
                <v:textbox>
                  <w:txbxContent>
                    <w:p w14:paraId="06F20357" w14:textId="666DD4D8" w:rsidR="00FE14F2" w:rsidRPr="00B03E32" w:rsidRDefault="00A66D21" w:rsidP="00366E6F">
                      <w:pPr>
                        <w:rPr>
                          <w:color w:val="FFFFFF" w:themeColor="background1"/>
                          <w:lang w:val="es-ES"/>
                        </w:rPr>
                      </w:pPr>
                      <w:r>
                        <w:rPr>
                          <w:color w:val="FFFFFF" w:themeColor="background1"/>
                          <w:lang w:val="es-ES"/>
                        </w:rPr>
                        <w:t>Diciembre</w:t>
                      </w:r>
                      <w:r w:rsidR="00FE14F2" w:rsidRPr="00FE14F2">
                        <w:rPr>
                          <w:color w:val="FFFFFF" w:themeColor="background1"/>
                          <w:lang w:val="es-ES"/>
                        </w:rPr>
                        <w:t xml:space="preserve"> 202</w:t>
                      </w:r>
                      <w:r w:rsidR="00FE14F2">
                        <w:rPr>
                          <w:color w:val="FFFFFF" w:themeColor="background1"/>
                          <w:lang w:val="es-ES"/>
                        </w:rPr>
                        <w:t>1</w:t>
                      </w:r>
                    </w:p>
                  </w:txbxContent>
                </v:textbox>
                <w10:wrap anchorx="page" anchory="page"/>
                <w10:anchorlock/>
              </v:shape>
            </w:pict>
          </mc:Fallback>
        </mc:AlternateContent>
      </w:r>
      <w:r w:rsidR="006822F6" w:rsidRPr="00366E6F">
        <w:rPr>
          <w:noProof/>
        </w:rPr>
        <mc:AlternateContent>
          <mc:Choice Requires="wps">
            <w:drawing>
              <wp:anchor distT="0" distB="0" distL="114300" distR="114300" simplePos="0" relativeHeight="251658241" behindDoc="0" locked="1" layoutInCell="1" allowOverlap="0" wp14:anchorId="6250A93B" wp14:editId="0C15BF6A">
                <wp:simplePos x="0" y="0"/>
                <wp:positionH relativeFrom="page">
                  <wp:posOffset>5582920</wp:posOffset>
                </wp:positionH>
                <wp:positionV relativeFrom="page">
                  <wp:posOffset>6639560</wp:posOffset>
                </wp:positionV>
                <wp:extent cx="2266950" cy="11531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66950" cy="1153160"/>
                        </a:xfrm>
                        <a:prstGeom prst="rect">
                          <a:avLst/>
                        </a:prstGeom>
                        <a:noFill/>
                        <a:ln w="6350">
                          <a:noFill/>
                        </a:ln>
                      </wps:spPr>
                      <wps:txbx>
                        <w:txbxContent>
                          <w:p w14:paraId="03C81BA6" w14:textId="43C3CE19" w:rsidR="002776AA" w:rsidRDefault="002776AA" w:rsidP="00366E6F">
                            <w:pPr>
                              <w:rPr>
                                <w:color w:val="FFFFFF" w:themeColor="background1"/>
                                <w:lang w:val="es-ES"/>
                              </w:rPr>
                            </w:pPr>
                            <w:r>
                              <w:rPr>
                                <w:color w:val="FFFFFF" w:themeColor="background1"/>
                                <w:lang w:val="es-ES"/>
                              </w:rPr>
                              <w:t>ANALISTAS:</w:t>
                            </w:r>
                          </w:p>
                          <w:p w14:paraId="49C66B2D" w14:textId="2922C5CA" w:rsidR="002776AA" w:rsidRDefault="00A66D21" w:rsidP="00366E6F">
                            <w:pPr>
                              <w:rPr>
                                <w:color w:val="FFFFFF" w:themeColor="background1"/>
                                <w:lang w:val="es-ES"/>
                              </w:rPr>
                            </w:pPr>
                            <w:r>
                              <w:rPr>
                                <w:color w:val="FFFFFF" w:themeColor="background1"/>
                                <w:lang w:val="es-ES"/>
                              </w:rPr>
                              <w:t>Paula Acuña L.</w:t>
                            </w:r>
                          </w:p>
                          <w:p w14:paraId="6DAC2ED4" w14:textId="33E853F5" w:rsidR="002776AA" w:rsidRDefault="002776AA" w:rsidP="00366E6F">
                            <w:pPr>
                              <w:rPr>
                                <w:color w:val="FFFFFF" w:themeColor="background1"/>
                                <w:lang w:val="es-ES"/>
                              </w:rPr>
                            </w:pPr>
                            <w:r>
                              <w:rPr>
                                <w:color w:val="FFFFFF" w:themeColor="background1"/>
                                <w:lang w:val="es-ES"/>
                              </w:rPr>
                              <w:t>Carlos García B.</w:t>
                            </w:r>
                          </w:p>
                          <w:p w14:paraId="72E9A662" w14:textId="2EC450C8" w:rsidR="002776AA" w:rsidRPr="00217678" w:rsidRDefault="000179F4" w:rsidP="007E2CE0">
                            <w:pPr>
                              <w:rPr>
                                <w:rStyle w:val="Hipervnculo"/>
                                <w:color w:val="B3B4B4"/>
                                <w:lang w:val="es-ES"/>
                              </w:rPr>
                            </w:pPr>
                            <w:hyperlink r:id="rId11" w:history="1">
                              <w:r w:rsidR="00A66D21" w:rsidRPr="00217678">
                                <w:rPr>
                                  <w:rStyle w:val="Hipervnculo"/>
                                  <w:color w:val="B3B4B4"/>
                                  <w:lang w:val="es-ES"/>
                                </w:rPr>
                                <w:t>paula.acuna@humphreys.cl</w:t>
                              </w:r>
                            </w:hyperlink>
                          </w:p>
                          <w:p w14:paraId="3CD5F204" w14:textId="700D9731" w:rsidR="002776AA" w:rsidRDefault="000179F4" w:rsidP="00366E6F">
                            <w:pPr>
                              <w:rPr>
                                <w:color w:val="FFFFFF" w:themeColor="background1"/>
                                <w:lang w:val="es-ES"/>
                              </w:rPr>
                            </w:pPr>
                            <w:hyperlink r:id="rId12" w:history="1">
                              <w:r w:rsidR="009300EE" w:rsidRPr="00217678">
                                <w:rPr>
                                  <w:rStyle w:val="Hipervnculo"/>
                                  <w:color w:val="B3B4B4"/>
                                  <w:lang w:val="es-ES"/>
                                </w:rPr>
                                <w:t>carlos.garcia@humphreys.cl</w:t>
                              </w:r>
                            </w:hyperlink>
                          </w:p>
                          <w:p w14:paraId="32B10364" w14:textId="77777777" w:rsidR="002776AA" w:rsidRPr="00B03E32" w:rsidRDefault="002776AA" w:rsidP="00366E6F">
                            <w:pPr>
                              <w:rPr>
                                <w:color w:val="FFFFFF" w:themeColor="background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0A93B" id="Cuadro de texto 8" o:spid="_x0000_s1028" type="#_x0000_t202" style="position:absolute;left:0;text-align:left;margin-left:439.6pt;margin-top:522.8pt;width:178.5pt;height:90.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lHJGgIAADQEAAAOAAAAZHJzL2Uyb0RvYy54bWysU01vGyEQvVfqf0Dc6/U6tpu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F4ORpNp3cTdHH05fnkJp8mYLPLc+t8+CpAk2iU1CEvCS62&#10;X/mAJTH0FBKrGVg2SiVulCFtSac3mP83D75QBh9emo1W6DYdaSrs6TTIBqoDzuegp95bvmywhxXz&#10;4YU55Br7Rv2GZ1ykAqwFR4uSGtzPv93HeKQAvZS0qJ2S+h875gQl6ptBcu7y8TiKLR3Gk88jPLhr&#10;z+baY3b6AVCeOf4Uy5MZ44M6mdKBfkOZL2JVdDHDsXZJw8l8CL2i8ZtwsVikIJSXZWFl1pbH1BG7&#10;iPBr98acPdIQkMEnOKmMFe/Y6GN71Be7ALJJVEWce1SP8KM0E4PHbxS1f31OUZfPPv8FAAD//wMA&#10;UEsDBBQABgAIAAAAIQDwBr505AAAAA4BAAAPAAAAZHJzL2Rvd25yZXYueG1sTI/BTsMwEETvSPyD&#10;tUjcqIOhaZrGqapIFRKih5ZeuDmxm0TE6xC7beDr2Zzgtrszmn2TrUfbsYsZfOtQwuMsAmawcrrF&#10;WsLxffuQAPNBoVadQyPh23hY57c3mUq1u+LeXA6hZhSCPlUSmhD6lHNfNcYqP3O9QdJObrAq0DrU&#10;XA/qSuG24yKKYm5Vi/ShUb0pGlN9Hs5Wwmux3al9KWzy0xUvb6dN/3X8mEt5fzduVsCCGcOfGSZ8&#10;QoecmEp3Ru1ZJyFZLAVZSYie5zGwySKeYrqV0yQWAnie8f818l8AAAD//wMAUEsBAi0AFAAGAAgA&#10;AAAhALaDOJL+AAAA4QEAABMAAAAAAAAAAAAAAAAAAAAAAFtDb250ZW50X1R5cGVzXS54bWxQSwEC&#10;LQAUAAYACAAAACEAOP0h/9YAAACUAQAACwAAAAAAAAAAAAAAAAAvAQAAX3JlbHMvLnJlbHNQSwEC&#10;LQAUAAYACAAAACEA+tJRyRoCAAA0BAAADgAAAAAAAAAAAAAAAAAuAgAAZHJzL2Uyb0RvYy54bWxQ&#10;SwECLQAUAAYACAAAACEA8Aa+dOQAAAAOAQAADwAAAAAAAAAAAAAAAAB0BAAAZHJzL2Rvd25yZXYu&#10;eG1sUEsFBgAAAAAEAAQA8wAAAIUFAAAAAA==&#10;" o:allowoverlap="f" filled="f" stroked="f" strokeweight=".5pt">
                <v:textbox>
                  <w:txbxContent>
                    <w:p w14:paraId="03C81BA6" w14:textId="43C3CE19" w:rsidR="002776AA" w:rsidRDefault="002776AA" w:rsidP="00366E6F">
                      <w:pPr>
                        <w:rPr>
                          <w:color w:val="FFFFFF" w:themeColor="background1"/>
                          <w:lang w:val="es-ES"/>
                        </w:rPr>
                      </w:pPr>
                      <w:r>
                        <w:rPr>
                          <w:color w:val="FFFFFF" w:themeColor="background1"/>
                          <w:lang w:val="es-ES"/>
                        </w:rPr>
                        <w:t>ANALISTAS:</w:t>
                      </w:r>
                    </w:p>
                    <w:p w14:paraId="49C66B2D" w14:textId="2922C5CA" w:rsidR="002776AA" w:rsidRDefault="00A66D21" w:rsidP="00366E6F">
                      <w:pPr>
                        <w:rPr>
                          <w:color w:val="FFFFFF" w:themeColor="background1"/>
                          <w:lang w:val="es-ES"/>
                        </w:rPr>
                      </w:pPr>
                      <w:r>
                        <w:rPr>
                          <w:color w:val="FFFFFF" w:themeColor="background1"/>
                          <w:lang w:val="es-ES"/>
                        </w:rPr>
                        <w:t>Paula Acuña L.</w:t>
                      </w:r>
                    </w:p>
                    <w:p w14:paraId="6DAC2ED4" w14:textId="33E853F5" w:rsidR="002776AA" w:rsidRDefault="002776AA" w:rsidP="00366E6F">
                      <w:pPr>
                        <w:rPr>
                          <w:color w:val="FFFFFF" w:themeColor="background1"/>
                          <w:lang w:val="es-ES"/>
                        </w:rPr>
                      </w:pPr>
                      <w:r>
                        <w:rPr>
                          <w:color w:val="FFFFFF" w:themeColor="background1"/>
                          <w:lang w:val="es-ES"/>
                        </w:rPr>
                        <w:t>Carlos García B.</w:t>
                      </w:r>
                    </w:p>
                    <w:p w14:paraId="72E9A662" w14:textId="2EC450C8" w:rsidR="002776AA" w:rsidRPr="00217678" w:rsidRDefault="000179F4" w:rsidP="007E2CE0">
                      <w:pPr>
                        <w:rPr>
                          <w:rStyle w:val="Hipervnculo"/>
                          <w:color w:val="B3B4B4"/>
                          <w:lang w:val="es-ES"/>
                        </w:rPr>
                      </w:pPr>
                      <w:hyperlink r:id="rId13" w:history="1">
                        <w:r w:rsidR="00A66D21" w:rsidRPr="00217678">
                          <w:rPr>
                            <w:rStyle w:val="Hipervnculo"/>
                            <w:color w:val="B3B4B4"/>
                            <w:lang w:val="es-ES"/>
                          </w:rPr>
                          <w:t>paula.acuna@humphreys.cl</w:t>
                        </w:r>
                      </w:hyperlink>
                    </w:p>
                    <w:p w14:paraId="3CD5F204" w14:textId="700D9731" w:rsidR="002776AA" w:rsidRDefault="000179F4" w:rsidP="00366E6F">
                      <w:pPr>
                        <w:rPr>
                          <w:color w:val="FFFFFF" w:themeColor="background1"/>
                          <w:lang w:val="es-ES"/>
                        </w:rPr>
                      </w:pPr>
                      <w:hyperlink r:id="rId14" w:history="1">
                        <w:r w:rsidR="009300EE" w:rsidRPr="00217678">
                          <w:rPr>
                            <w:rStyle w:val="Hipervnculo"/>
                            <w:color w:val="B3B4B4"/>
                            <w:lang w:val="es-ES"/>
                          </w:rPr>
                          <w:t>carlos.garcia@humphreys.cl</w:t>
                        </w:r>
                      </w:hyperlink>
                    </w:p>
                    <w:p w14:paraId="32B10364" w14:textId="77777777" w:rsidR="002776AA" w:rsidRPr="00B03E32" w:rsidRDefault="002776AA" w:rsidP="00366E6F">
                      <w:pPr>
                        <w:rPr>
                          <w:color w:val="FFFFFF" w:themeColor="background1"/>
                          <w:lang w:val="es-ES"/>
                        </w:rPr>
                      </w:pPr>
                    </w:p>
                  </w:txbxContent>
                </v:textbox>
                <w10:wrap anchorx="page" anchory="page"/>
                <w10:anchorlock/>
              </v:shape>
            </w:pict>
          </mc:Fallback>
        </mc:AlternateContent>
      </w:r>
    </w:p>
    <w:p w14:paraId="107A747A" w14:textId="77777777" w:rsidR="004429DB" w:rsidRDefault="004429DB"/>
    <w:p w14:paraId="44D31502" w14:textId="77777777" w:rsidR="004429DB" w:rsidRDefault="004429DB"/>
    <w:p w14:paraId="70D9B967" w14:textId="77777777" w:rsidR="004429DB" w:rsidRDefault="004429DB"/>
    <w:p w14:paraId="6BAA8FCA" w14:textId="77777777" w:rsidR="004429DB" w:rsidRDefault="004429DB"/>
    <w:p w14:paraId="095B1D77" w14:textId="5E5006EB" w:rsidR="004429DB" w:rsidRDefault="00056B74">
      <w:r>
        <w:rPr>
          <w:noProof/>
        </w:rPr>
        <mc:AlternateContent>
          <mc:Choice Requires="wps">
            <w:drawing>
              <wp:anchor distT="0" distB="0" distL="114300" distR="114300" simplePos="0" relativeHeight="251658243" behindDoc="0" locked="0" layoutInCell="1" allowOverlap="1" wp14:anchorId="3F26497A" wp14:editId="3ADD9A92">
                <wp:simplePos x="0" y="0"/>
                <wp:positionH relativeFrom="column">
                  <wp:posOffset>0</wp:posOffset>
                </wp:positionH>
                <wp:positionV relativeFrom="paragraph">
                  <wp:posOffset>-635</wp:posOffset>
                </wp:positionV>
                <wp:extent cx="4445307" cy="354838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45307" cy="3548380"/>
                        </a:xfrm>
                        <a:prstGeom prst="rect">
                          <a:avLst/>
                        </a:prstGeom>
                        <a:solidFill>
                          <a:sysClr val="window" lastClr="FFFFFF"/>
                        </a:solidFill>
                        <a:ln w="6350">
                          <a:noFill/>
                        </a:ln>
                      </wps:spPr>
                      <wps:txbx>
                        <w:txbxContent>
                          <w:p w14:paraId="670B29A6" w14:textId="6E6A14F4" w:rsidR="00227DCC" w:rsidRDefault="00227DCC" w:rsidP="00B97096">
                            <w:pPr>
                              <w:spacing w:before="240" w:line="360" w:lineRule="auto"/>
                              <w:rPr>
                                <w:rFonts w:eastAsiaTheme="majorEastAsia" w:cstheme="majorBidi"/>
                                <w:b/>
                                <w:sz w:val="44"/>
                                <w:szCs w:val="32"/>
                                <w:lang w:val="es-ES"/>
                              </w:rPr>
                            </w:pPr>
                            <w:r>
                              <w:rPr>
                                <w:rFonts w:eastAsiaTheme="majorEastAsia" w:cstheme="majorBidi"/>
                                <w:b/>
                                <w:sz w:val="44"/>
                                <w:szCs w:val="32"/>
                                <w:lang w:val="es-ES"/>
                              </w:rPr>
                              <w:t xml:space="preserve">Comercial K </w:t>
                            </w:r>
                            <w:proofErr w:type="spellStart"/>
                            <w:r w:rsidR="00280F4C">
                              <w:rPr>
                                <w:rFonts w:eastAsiaTheme="majorEastAsia" w:cstheme="majorBidi"/>
                                <w:b/>
                                <w:sz w:val="44"/>
                                <w:szCs w:val="32"/>
                                <w:lang w:val="es-ES"/>
                              </w:rPr>
                              <w:t>SpA</w:t>
                            </w:r>
                            <w:proofErr w:type="spellEnd"/>
                          </w:p>
                          <w:p w14:paraId="2D43A156" w14:textId="334E2406" w:rsidR="0023274A" w:rsidRPr="007E4041" w:rsidRDefault="0023274A" w:rsidP="0023274A">
                            <w:pPr>
                              <w:rPr>
                                <w:color w:val="AE1619"/>
                                <w:sz w:val="28"/>
                                <w:szCs w:val="36"/>
                                <w:lang w:val="es-ES"/>
                              </w:rPr>
                            </w:pPr>
                            <w:r w:rsidRPr="00136CDA">
                              <w:rPr>
                                <w:color w:val="AE1619"/>
                                <w:sz w:val="28"/>
                                <w:szCs w:val="36"/>
                                <w:lang w:val="es-ES"/>
                              </w:rPr>
                              <w:t>Primera Clasificación</w:t>
                            </w:r>
                            <w:r w:rsidR="005A4CDA">
                              <w:rPr>
                                <w:color w:val="AE1619"/>
                                <w:sz w:val="28"/>
                                <w:szCs w:val="36"/>
                                <w:lang w:val="es-ES"/>
                              </w:rPr>
                              <w:t xml:space="preserve"> del Emisor y sus valores</w:t>
                            </w:r>
                          </w:p>
                          <w:p w14:paraId="4215EDC9" w14:textId="0565CBAF" w:rsidR="00056B74" w:rsidRPr="007E4041" w:rsidRDefault="00056B74" w:rsidP="0023274A">
                            <w:pPr>
                              <w:rPr>
                                <w:color w:val="AE1619"/>
                                <w:sz w:val="28"/>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497A" id="Cuadro de texto 6" o:spid="_x0000_s1029" type="#_x0000_t202" style="position:absolute;margin-left:0;margin-top:-.05pt;width:350pt;height:27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6SPAIAAG0EAAAOAAAAZHJzL2Uyb0RvYy54bWysVEuP2jAQvlfqf7B8LwkQdmlEWFFWVJXQ&#10;7kpstWfjOMSS43FtQ0J/fccOr257qsrBzHjG8/i+mcweukaRg7BOgi7ocJBSIjSHUupdQb+/rj5N&#10;KXGe6ZIp0KKgR+How/zjh1lrcjGCGlQpLMEg2uWtKWjtvcmTxPFaNMwNwAiNxgpswzyqdpeUlrUY&#10;vVHJKE3vkhZsaSxw4RzePvZGOo/xq0pw/1xVTniiCoq1+XjaeG7DmcxnLN9ZZmrJT2Wwf6iiYVJj&#10;0kuoR+YZ2Vv5R6hGcgsOKj/g0CRQVZKL2AN2M0zfdbOpmRGxFwTHmQtM7v+F5U+HjXmxxHdfoEMC&#10;AyCtcbnDy9BPV9km/GOlBO0I4fECm+g84XiZZdlknN5TwtE2nmTT8TQCm1yfG+v8VwENCUJBLfIS&#10;4WKHtfOYEl3PLiGbAyXLlVQqKke3VJYcGFKIzJfQUqKY83hZ0FX8haoxxG/PlCZtQe/GkzRm0hDi&#10;9X5Ko/u1yyD5btsRWWL9ZwS2UB4RGAv9zDjDVxKLX2PmF2ZxSBALHHz/jEelAHPBSaKkBvvzb/fB&#10;H7lDKyUtDl1B3Y89swIb+qaR1c/DLAtTGpVscj9Cxd5atrcWvW+WgKAMccUMj2Lw9+osVhaaN9yP&#10;RciKJqY55i6oP4tL368C7hcXi0V0wrk0zK/1xvAQOjAQqHnt3pg1J/48Uv8E5/Fk+Tsae9/wUsNi&#10;76GSkeOAc4/qCX6c6cjbaf/C0tzq0ev6lZj/AgAA//8DAFBLAwQUAAYACAAAACEAuAKCMN4AAAAG&#10;AQAADwAAAGRycy9kb3ducmV2LnhtbEyPQUvDQBSE74L/YXmCt3a3Qm2JeSkiihYM1bTgdZs8k2h2&#10;N+xum9hf3+dJj8MMM9+kq9F04kg+tM4izKYKBNnSVa2tEXbbp8kSRIjaVrpzlhB+KMAqu7xIdVK5&#10;wb7TsYi14BIbEo3QxNgnUoayIaPD1PVk2ft03ujI0tey8nrgctPJG6VupdGt5YVG9/TQUPldHAzC&#10;x1A8+816/fXWv+SnzanIX+kxR7y+Gu/vQEQa418YfvEZHTJm2ruDrYLoEPhIRJjMQLC5UIr1HmE+&#10;Xy5AZqn8j5+dAQAA//8DAFBLAQItABQABgAIAAAAIQC2gziS/gAAAOEBAAATAAAAAAAAAAAAAAAA&#10;AAAAAABbQ29udGVudF9UeXBlc10ueG1sUEsBAi0AFAAGAAgAAAAhADj9If/WAAAAlAEAAAsAAAAA&#10;AAAAAAAAAAAALwEAAF9yZWxzLy5yZWxzUEsBAi0AFAAGAAgAAAAhABYEDpI8AgAAbQQAAA4AAAAA&#10;AAAAAAAAAAAALgIAAGRycy9lMm9Eb2MueG1sUEsBAi0AFAAGAAgAAAAhALgCgjDeAAAABgEAAA8A&#10;AAAAAAAAAAAAAAAAlgQAAGRycy9kb3ducmV2LnhtbFBLBQYAAAAABAAEAPMAAAChBQAAAAA=&#10;" fillcolor="window" stroked="f" strokeweight=".5pt">
                <v:textbox>
                  <w:txbxContent>
                    <w:p w14:paraId="670B29A6" w14:textId="6E6A14F4" w:rsidR="00227DCC" w:rsidRDefault="00227DCC" w:rsidP="00B97096">
                      <w:pPr>
                        <w:spacing w:before="240" w:line="360" w:lineRule="auto"/>
                        <w:rPr>
                          <w:rFonts w:eastAsiaTheme="majorEastAsia" w:cstheme="majorBidi"/>
                          <w:b/>
                          <w:sz w:val="44"/>
                          <w:szCs w:val="32"/>
                          <w:lang w:val="es-ES"/>
                        </w:rPr>
                      </w:pPr>
                      <w:r>
                        <w:rPr>
                          <w:rFonts w:eastAsiaTheme="majorEastAsia" w:cstheme="majorBidi"/>
                          <w:b/>
                          <w:sz w:val="44"/>
                          <w:szCs w:val="32"/>
                          <w:lang w:val="es-ES"/>
                        </w:rPr>
                        <w:t xml:space="preserve">Comercial K </w:t>
                      </w:r>
                      <w:proofErr w:type="spellStart"/>
                      <w:r w:rsidR="00280F4C">
                        <w:rPr>
                          <w:rFonts w:eastAsiaTheme="majorEastAsia" w:cstheme="majorBidi"/>
                          <w:b/>
                          <w:sz w:val="44"/>
                          <w:szCs w:val="32"/>
                          <w:lang w:val="es-ES"/>
                        </w:rPr>
                        <w:t>SpA</w:t>
                      </w:r>
                      <w:proofErr w:type="spellEnd"/>
                    </w:p>
                    <w:p w14:paraId="2D43A156" w14:textId="334E2406" w:rsidR="0023274A" w:rsidRPr="007E4041" w:rsidRDefault="0023274A" w:rsidP="0023274A">
                      <w:pPr>
                        <w:rPr>
                          <w:color w:val="AE1619"/>
                          <w:sz w:val="28"/>
                          <w:szCs w:val="36"/>
                          <w:lang w:val="es-ES"/>
                        </w:rPr>
                      </w:pPr>
                      <w:r w:rsidRPr="00136CDA">
                        <w:rPr>
                          <w:color w:val="AE1619"/>
                          <w:sz w:val="28"/>
                          <w:szCs w:val="36"/>
                          <w:lang w:val="es-ES"/>
                        </w:rPr>
                        <w:t>Primera Clasificación</w:t>
                      </w:r>
                      <w:r w:rsidR="005A4CDA">
                        <w:rPr>
                          <w:color w:val="AE1619"/>
                          <w:sz w:val="28"/>
                          <w:szCs w:val="36"/>
                          <w:lang w:val="es-ES"/>
                        </w:rPr>
                        <w:t xml:space="preserve"> del Emisor y sus valores</w:t>
                      </w:r>
                    </w:p>
                    <w:p w14:paraId="4215EDC9" w14:textId="0565CBAF" w:rsidR="00056B74" w:rsidRPr="007E4041" w:rsidRDefault="00056B74" w:rsidP="0023274A">
                      <w:pPr>
                        <w:rPr>
                          <w:color w:val="AE1619"/>
                          <w:sz w:val="28"/>
                          <w:szCs w:val="36"/>
                          <w:lang w:val="es-ES"/>
                        </w:rPr>
                      </w:pPr>
                    </w:p>
                  </w:txbxContent>
                </v:textbox>
              </v:shape>
            </w:pict>
          </mc:Fallback>
        </mc:AlternateContent>
      </w:r>
    </w:p>
    <w:p w14:paraId="0786130F" w14:textId="77777777" w:rsidR="004429DB" w:rsidRDefault="004429DB"/>
    <w:p w14:paraId="3D95DC19" w14:textId="77777777" w:rsidR="004429DB" w:rsidRDefault="004429DB"/>
    <w:p w14:paraId="39298705" w14:textId="77777777" w:rsidR="004429DB" w:rsidRDefault="004429DB"/>
    <w:p w14:paraId="092D9FCA" w14:textId="77777777" w:rsidR="004429DB" w:rsidRDefault="004429DB"/>
    <w:p w14:paraId="3657BB1C" w14:textId="77777777" w:rsidR="004429DB" w:rsidRDefault="004429DB"/>
    <w:p w14:paraId="5EB1F9E3" w14:textId="77777777" w:rsidR="004429DB" w:rsidRDefault="004429DB"/>
    <w:p w14:paraId="6CCC55B3" w14:textId="77777777" w:rsidR="004429DB" w:rsidRDefault="004429DB"/>
    <w:p w14:paraId="7600A4DE" w14:textId="77777777" w:rsidR="004429DB" w:rsidRDefault="004429DB"/>
    <w:p w14:paraId="11C1C7C5" w14:textId="77777777" w:rsidR="004429DB" w:rsidRDefault="004429DB"/>
    <w:p w14:paraId="5219926D" w14:textId="77777777" w:rsidR="004429DB" w:rsidRDefault="004429DB"/>
    <w:p w14:paraId="3A1352D7" w14:textId="46F548F3" w:rsidR="004429DB" w:rsidRDefault="004429DB"/>
    <w:p w14:paraId="125DC385" w14:textId="77777777" w:rsidR="004429DB" w:rsidRDefault="004429DB"/>
    <w:p w14:paraId="32228EBF" w14:textId="77777777" w:rsidR="004429DB" w:rsidRDefault="004429DB"/>
    <w:p w14:paraId="72CB0F86" w14:textId="77777777" w:rsidR="004429DB" w:rsidRDefault="004429DB"/>
    <w:p w14:paraId="731F7539" w14:textId="77777777" w:rsidR="004429DB" w:rsidRDefault="004429DB"/>
    <w:p w14:paraId="18E0FB21" w14:textId="77777777" w:rsidR="004429DB" w:rsidRDefault="004429DB"/>
    <w:p w14:paraId="0A0ED85D" w14:textId="77777777" w:rsidR="004429DB" w:rsidRDefault="004429DB"/>
    <w:p w14:paraId="768F242D" w14:textId="77777777" w:rsidR="004429DB" w:rsidRDefault="004429DB"/>
    <w:p w14:paraId="6C6BBB9F" w14:textId="77777777" w:rsidR="004429DB" w:rsidRDefault="004429DB"/>
    <w:p w14:paraId="7C09A48A" w14:textId="77777777" w:rsidR="004429DB" w:rsidRDefault="004429DB"/>
    <w:p w14:paraId="18FA43FC" w14:textId="77777777" w:rsidR="004429DB" w:rsidRDefault="004429DB"/>
    <w:p w14:paraId="540EEC25" w14:textId="77777777" w:rsidR="004429DB" w:rsidRDefault="004429DB"/>
    <w:p w14:paraId="5B8619DC" w14:textId="77777777" w:rsidR="004429DB" w:rsidRDefault="004429DB"/>
    <w:p w14:paraId="429B05A2" w14:textId="77777777" w:rsidR="004429DB" w:rsidRDefault="004429DB"/>
    <w:p w14:paraId="7231C92B" w14:textId="3E1A409F" w:rsidR="00431B23" w:rsidRDefault="00431B23">
      <w:r>
        <w:br/>
      </w:r>
    </w:p>
    <w:p w14:paraId="102DEE6E" w14:textId="4771C46B" w:rsidR="00E10DEB" w:rsidRDefault="00E10DEB"/>
    <w:p w14:paraId="728907DF" w14:textId="0DFFEF66" w:rsidR="00E10DEB" w:rsidRDefault="00E10DEB"/>
    <w:p w14:paraId="2E8FD96C" w14:textId="5F94D501" w:rsidR="00E10DEB" w:rsidRDefault="00E10DEB"/>
    <w:p w14:paraId="6BBC8038" w14:textId="398FE406" w:rsidR="00E10DEB" w:rsidRDefault="00E10DEB"/>
    <w:p w14:paraId="602B816F" w14:textId="00117591" w:rsidR="00E10DEB" w:rsidRDefault="00E10DEB"/>
    <w:p w14:paraId="38D7E0EA" w14:textId="4CDC556A" w:rsidR="00E10DEB" w:rsidRDefault="00E10DEB"/>
    <w:p w14:paraId="3BC593E8" w14:textId="25C8014D" w:rsidR="00E10DEB" w:rsidRDefault="00E10DEB"/>
    <w:p w14:paraId="04E6AE88" w14:textId="20C25CCB" w:rsidR="00E10DEB" w:rsidRDefault="00E10DEB"/>
    <w:p w14:paraId="5B6E92DD" w14:textId="3C050E30" w:rsidR="00E10DEB" w:rsidRDefault="00E10DEB"/>
    <w:p w14:paraId="28FE227A" w14:textId="387D7065" w:rsidR="00E10DEB" w:rsidRDefault="00E10DEB"/>
    <w:p w14:paraId="3F4DB6DF" w14:textId="236D5D3C" w:rsidR="00E10DEB" w:rsidRDefault="00E10DEB"/>
    <w:p w14:paraId="359E8091" w14:textId="77777777" w:rsidR="00E10DEB" w:rsidRDefault="00E10DEB"/>
    <w:p w14:paraId="005DC4ED" w14:textId="77777777" w:rsidR="004429DB" w:rsidRDefault="004429DB"/>
    <w:p w14:paraId="42B3050E" w14:textId="77AD8DE2" w:rsidR="00242FB0" w:rsidRDefault="00242FB0" w:rsidP="00C576DC"/>
    <w:tbl>
      <w:tblPr>
        <w:tblW w:w="6188" w:type="dxa"/>
        <w:jc w:val="center"/>
        <w:tblCellMar>
          <w:left w:w="70" w:type="dxa"/>
          <w:right w:w="70" w:type="dxa"/>
        </w:tblCellMar>
        <w:tblLook w:val="04A0" w:firstRow="1" w:lastRow="0" w:firstColumn="1" w:lastColumn="0" w:noHBand="0" w:noVBand="1"/>
      </w:tblPr>
      <w:tblGrid>
        <w:gridCol w:w="3104"/>
        <w:gridCol w:w="3084"/>
      </w:tblGrid>
      <w:tr w:rsidR="00A373EE" w:rsidRPr="005A2D06" w14:paraId="4D39EA16" w14:textId="77777777" w:rsidTr="00422E45">
        <w:trPr>
          <w:cantSplit/>
          <w:trHeight w:val="292"/>
          <w:jc w:val="center"/>
        </w:trPr>
        <w:tc>
          <w:tcPr>
            <w:tcW w:w="6188" w:type="dxa"/>
            <w:gridSpan w:val="2"/>
            <w:tcBorders>
              <w:top w:val="single" w:sz="12" w:space="0" w:color="FFFFFF"/>
              <w:left w:val="single" w:sz="12" w:space="0" w:color="FFFFFF"/>
              <w:bottom w:val="single" w:sz="12" w:space="0" w:color="FFFFFF"/>
              <w:right w:val="single" w:sz="12" w:space="0" w:color="FFFFFF"/>
            </w:tcBorders>
            <w:shd w:val="clear" w:color="000000" w:fill="BB1823"/>
            <w:vAlign w:val="center"/>
            <w:hideMark/>
          </w:tcPr>
          <w:p w14:paraId="15508639" w14:textId="77777777" w:rsidR="00A373EE" w:rsidRPr="005A2D06" w:rsidRDefault="00A373EE" w:rsidP="00CA4E46">
            <w:pPr>
              <w:jc w:val="center"/>
              <w:rPr>
                <w:rFonts w:eastAsia="Times New Roman" w:cs="Arial"/>
                <w:b/>
                <w:bCs/>
                <w:color w:val="FFFFFF"/>
                <w:sz w:val="18"/>
                <w:szCs w:val="18"/>
                <w:lang w:eastAsia="es-CL"/>
              </w:rPr>
            </w:pPr>
            <w:r w:rsidRPr="005A2D06">
              <w:rPr>
                <w:rFonts w:eastAsia="Times New Roman" w:cs="Arial"/>
                <w:b/>
                <w:bCs/>
                <w:color w:val="FFFFFF" w:themeColor="background1"/>
                <w:sz w:val="18"/>
                <w:szCs w:val="18"/>
                <w:lang w:eastAsia="es-CL"/>
              </w:rPr>
              <w:lastRenderedPageBreak/>
              <w:t>Categoría de riesgo</w:t>
            </w:r>
          </w:p>
        </w:tc>
      </w:tr>
      <w:tr w:rsidR="00A373EE" w:rsidRPr="005A2D06" w14:paraId="59A8C746" w14:textId="77777777" w:rsidTr="003333EA">
        <w:trPr>
          <w:cantSplit/>
          <w:trHeight w:val="292"/>
          <w:jc w:val="center"/>
        </w:trPr>
        <w:tc>
          <w:tcPr>
            <w:tcW w:w="3104" w:type="dxa"/>
            <w:tcBorders>
              <w:top w:val="nil"/>
              <w:left w:val="single" w:sz="12" w:space="0" w:color="FFFFFF"/>
              <w:bottom w:val="single" w:sz="12" w:space="0" w:color="FFFFFF"/>
              <w:right w:val="single" w:sz="12" w:space="0" w:color="FFFFFF"/>
            </w:tcBorders>
            <w:shd w:val="clear" w:color="000000" w:fill="AE1619"/>
            <w:vAlign w:val="center"/>
            <w:hideMark/>
          </w:tcPr>
          <w:p w14:paraId="41D6335F" w14:textId="77777777" w:rsidR="00A373EE" w:rsidRPr="005A2D06" w:rsidRDefault="00A373EE" w:rsidP="00CA4E46">
            <w:pPr>
              <w:jc w:val="center"/>
              <w:rPr>
                <w:rFonts w:eastAsia="Times New Roman" w:cs="Arial"/>
                <w:b/>
                <w:bCs/>
                <w:color w:val="FFFFFF"/>
                <w:sz w:val="18"/>
                <w:szCs w:val="18"/>
                <w:lang w:eastAsia="es-CL"/>
              </w:rPr>
            </w:pPr>
            <w:r w:rsidRPr="005A2D06">
              <w:rPr>
                <w:rFonts w:eastAsia="Times New Roman" w:cs="Arial"/>
                <w:b/>
                <w:bCs/>
                <w:color w:val="FFFFFF" w:themeColor="background1"/>
                <w:sz w:val="18"/>
                <w:szCs w:val="18"/>
                <w:lang w:eastAsia="es-CL"/>
              </w:rPr>
              <w:t>Tipo de instrumento</w:t>
            </w:r>
          </w:p>
        </w:tc>
        <w:tc>
          <w:tcPr>
            <w:tcW w:w="3084" w:type="dxa"/>
            <w:tcBorders>
              <w:top w:val="nil"/>
              <w:left w:val="nil"/>
              <w:bottom w:val="single" w:sz="12" w:space="0" w:color="FFFFFF"/>
              <w:right w:val="single" w:sz="12" w:space="0" w:color="FFFFFF"/>
            </w:tcBorders>
            <w:shd w:val="clear" w:color="000000" w:fill="AE1619"/>
            <w:vAlign w:val="center"/>
            <w:hideMark/>
          </w:tcPr>
          <w:p w14:paraId="517D9422" w14:textId="77777777" w:rsidR="00A373EE" w:rsidRPr="005A2D06" w:rsidRDefault="00A373EE" w:rsidP="00CA4E46">
            <w:pPr>
              <w:jc w:val="center"/>
              <w:rPr>
                <w:rFonts w:eastAsia="Times New Roman" w:cs="Arial"/>
                <w:b/>
                <w:bCs/>
                <w:color w:val="FFFFFF"/>
                <w:sz w:val="18"/>
                <w:szCs w:val="18"/>
                <w:lang w:eastAsia="es-CL"/>
              </w:rPr>
            </w:pPr>
            <w:r w:rsidRPr="005A2D06">
              <w:rPr>
                <w:rFonts w:eastAsia="Times New Roman" w:cs="Arial"/>
                <w:b/>
                <w:bCs/>
                <w:color w:val="FFFFFF" w:themeColor="background1"/>
                <w:sz w:val="18"/>
                <w:szCs w:val="18"/>
                <w:lang w:eastAsia="es-CL"/>
              </w:rPr>
              <w:t>Categoría</w:t>
            </w:r>
          </w:p>
        </w:tc>
      </w:tr>
      <w:tr w:rsidR="00217678" w:rsidRPr="005A2D06" w14:paraId="24558752" w14:textId="77777777" w:rsidTr="003333EA">
        <w:trPr>
          <w:cantSplit/>
          <w:trHeight w:val="276"/>
          <w:jc w:val="center"/>
        </w:trPr>
        <w:tc>
          <w:tcPr>
            <w:tcW w:w="3104" w:type="dxa"/>
            <w:tcBorders>
              <w:top w:val="nil"/>
              <w:left w:val="single" w:sz="12" w:space="0" w:color="FFFFFF"/>
              <w:bottom w:val="nil"/>
              <w:right w:val="single" w:sz="12" w:space="0" w:color="FFFFFF"/>
            </w:tcBorders>
            <w:shd w:val="clear" w:color="000000" w:fill="FFFFFF"/>
            <w:vAlign w:val="center"/>
          </w:tcPr>
          <w:p w14:paraId="38BC4044" w14:textId="77777777" w:rsidR="00217678" w:rsidRPr="00801C4E" w:rsidRDefault="00217678" w:rsidP="00CA4E46">
            <w:pPr>
              <w:rPr>
                <w:rFonts w:eastAsia="Times New Roman" w:cs="Arial"/>
                <w:color w:val="1F3864" w:themeColor="accent1" w:themeShade="80"/>
                <w:sz w:val="18"/>
                <w:szCs w:val="18"/>
                <w:lang w:eastAsia="es-CL"/>
              </w:rPr>
            </w:pPr>
          </w:p>
        </w:tc>
        <w:tc>
          <w:tcPr>
            <w:tcW w:w="3084" w:type="dxa"/>
            <w:tcBorders>
              <w:top w:val="nil"/>
              <w:left w:val="nil"/>
              <w:bottom w:val="nil"/>
              <w:right w:val="single" w:sz="12" w:space="0" w:color="FFFFFF"/>
            </w:tcBorders>
            <w:shd w:val="clear" w:color="000000" w:fill="FFFFFF"/>
            <w:vAlign w:val="center"/>
          </w:tcPr>
          <w:p w14:paraId="28FA45D3" w14:textId="77777777" w:rsidR="00217678" w:rsidRPr="00801C4E" w:rsidRDefault="00217678" w:rsidP="00CA4E46">
            <w:pPr>
              <w:jc w:val="center"/>
              <w:rPr>
                <w:rFonts w:eastAsia="Times New Roman" w:cs="Arial"/>
                <w:color w:val="1F3864"/>
                <w:sz w:val="18"/>
                <w:szCs w:val="18"/>
                <w:lang w:eastAsia="es-CL"/>
              </w:rPr>
            </w:pPr>
          </w:p>
        </w:tc>
      </w:tr>
      <w:tr w:rsidR="00A373EE" w:rsidRPr="005A2D06" w14:paraId="4B2980CA" w14:textId="77777777" w:rsidTr="003333EA">
        <w:trPr>
          <w:cantSplit/>
          <w:trHeight w:val="276"/>
          <w:jc w:val="center"/>
        </w:trPr>
        <w:tc>
          <w:tcPr>
            <w:tcW w:w="3104" w:type="dxa"/>
            <w:tcBorders>
              <w:top w:val="nil"/>
              <w:left w:val="single" w:sz="12" w:space="0" w:color="FFFFFF"/>
              <w:bottom w:val="nil"/>
              <w:right w:val="single" w:sz="12" w:space="0" w:color="FFFFFF"/>
            </w:tcBorders>
            <w:shd w:val="clear" w:color="000000" w:fill="FFFFFF"/>
            <w:vAlign w:val="center"/>
            <w:hideMark/>
          </w:tcPr>
          <w:p w14:paraId="3AF1A9FD" w14:textId="64B3032A" w:rsidR="00A373EE" w:rsidRPr="00801C4E" w:rsidRDefault="003333EA" w:rsidP="00CA4E46">
            <w:pPr>
              <w:rPr>
                <w:rFonts w:eastAsia="Times New Roman" w:cs="Arial"/>
                <w:color w:val="1F3864"/>
                <w:sz w:val="18"/>
                <w:szCs w:val="18"/>
                <w:lang w:eastAsia="es-CL"/>
              </w:rPr>
            </w:pPr>
            <w:r>
              <w:rPr>
                <w:rFonts w:eastAsia="Times New Roman" w:cs="Arial"/>
                <w:color w:val="1F3864" w:themeColor="accent1" w:themeShade="80"/>
                <w:sz w:val="18"/>
                <w:szCs w:val="18"/>
                <w:lang w:eastAsia="es-CL"/>
              </w:rPr>
              <w:t>Línea de bonos</w:t>
            </w:r>
          </w:p>
        </w:tc>
        <w:tc>
          <w:tcPr>
            <w:tcW w:w="3084" w:type="dxa"/>
            <w:tcBorders>
              <w:top w:val="nil"/>
              <w:left w:val="nil"/>
              <w:bottom w:val="nil"/>
              <w:right w:val="single" w:sz="12" w:space="0" w:color="FFFFFF"/>
            </w:tcBorders>
            <w:shd w:val="clear" w:color="000000" w:fill="FFFFFF"/>
            <w:vAlign w:val="center"/>
            <w:hideMark/>
          </w:tcPr>
          <w:p w14:paraId="6413156A" w14:textId="4CF406DB" w:rsidR="00A373EE" w:rsidRPr="003333EA" w:rsidRDefault="00663C7A" w:rsidP="00CA4E46">
            <w:pPr>
              <w:jc w:val="center"/>
              <w:rPr>
                <w:rFonts w:eastAsia="Times New Roman" w:cs="Arial"/>
                <w:b/>
                <w:bCs/>
                <w:color w:val="1F3864"/>
                <w:sz w:val="18"/>
                <w:szCs w:val="18"/>
                <w:lang w:eastAsia="es-CL"/>
              </w:rPr>
            </w:pPr>
            <w:r w:rsidRPr="003333EA">
              <w:rPr>
                <w:rFonts w:eastAsia="Times New Roman" w:cs="Arial"/>
                <w:b/>
                <w:bCs/>
                <w:color w:val="1F3864"/>
                <w:sz w:val="18"/>
                <w:szCs w:val="18"/>
                <w:lang w:eastAsia="es-CL"/>
              </w:rPr>
              <w:t>A</w:t>
            </w:r>
          </w:p>
        </w:tc>
      </w:tr>
      <w:tr w:rsidR="00A373EE" w:rsidRPr="005A2D06" w14:paraId="5344C63F" w14:textId="77777777" w:rsidTr="003333EA">
        <w:trPr>
          <w:trHeight w:val="261"/>
          <w:jc w:val="center"/>
        </w:trPr>
        <w:tc>
          <w:tcPr>
            <w:tcW w:w="3104" w:type="dxa"/>
            <w:tcBorders>
              <w:top w:val="nil"/>
              <w:left w:val="single" w:sz="12" w:space="0" w:color="FFFFFF"/>
              <w:bottom w:val="nil"/>
              <w:right w:val="single" w:sz="12" w:space="0" w:color="FFFFFF"/>
            </w:tcBorders>
            <w:shd w:val="clear" w:color="000000" w:fill="FFFFFF"/>
            <w:vAlign w:val="center"/>
            <w:hideMark/>
          </w:tcPr>
          <w:p w14:paraId="123E93D6" w14:textId="77777777" w:rsidR="00A373EE" w:rsidRPr="00801C4E" w:rsidRDefault="00A373EE" w:rsidP="00CA4E46">
            <w:pPr>
              <w:rPr>
                <w:rFonts w:eastAsia="Times New Roman" w:cs="Arial"/>
                <w:color w:val="1F3864"/>
                <w:sz w:val="18"/>
                <w:szCs w:val="18"/>
                <w:lang w:eastAsia="es-CL"/>
              </w:rPr>
            </w:pPr>
            <w:r w:rsidRPr="00801C4E">
              <w:rPr>
                <w:rFonts w:eastAsia="Times New Roman" w:cs="Arial"/>
                <w:color w:val="1F3864" w:themeColor="accent1" w:themeShade="80"/>
                <w:sz w:val="18"/>
                <w:szCs w:val="18"/>
                <w:lang w:eastAsia="es-CL"/>
              </w:rPr>
              <w:t xml:space="preserve">Tendencia </w:t>
            </w:r>
          </w:p>
        </w:tc>
        <w:tc>
          <w:tcPr>
            <w:tcW w:w="3084" w:type="dxa"/>
            <w:tcBorders>
              <w:top w:val="nil"/>
              <w:left w:val="nil"/>
              <w:bottom w:val="nil"/>
              <w:right w:val="single" w:sz="12" w:space="0" w:color="FFFFFF"/>
            </w:tcBorders>
            <w:shd w:val="clear" w:color="000000" w:fill="FFFFFF"/>
            <w:vAlign w:val="center"/>
            <w:hideMark/>
          </w:tcPr>
          <w:p w14:paraId="05BA330A" w14:textId="77777777" w:rsidR="00A373EE" w:rsidRPr="003333EA" w:rsidRDefault="00A373EE" w:rsidP="00CA4E46">
            <w:pPr>
              <w:jc w:val="center"/>
              <w:rPr>
                <w:rFonts w:eastAsia="Times New Roman" w:cs="Arial"/>
                <w:b/>
                <w:bCs/>
                <w:color w:val="1F3864"/>
                <w:sz w:val="18"/>
                <w:szCs w:val="18"/>
                <w:lang w:eastAsia="es-CL"/>
              </w:rPr>
            </w:pPr>
            <w:r w:rsidRPr="003333EA">
              <w:rPr>
                <w:rFonts w:eastAsia="Times New Roman" w:cs="Arial"/>
                <w:b/>
                <w:bCs/>
                <w:color w:val="1F3864" w:themeColor="accent1" w:themeShade="80"/>
                <w:sz w:val="18"/>
                <w:szCs w:val="18"/>
                <w:lang w:eastAsia="es-CL"/>
              </w:rPr>
              <w:t>Estable</w:t>
            </w:r>
          </w:p>
        </w:tc>
      </w:tr>
      <w:tr w:rsidR="00A373EE" w:rsidRPr="005A2D06" w14:paraId="73497EFE" w14:textId="77777777" w:rsidTr="003333EA">
        <w:trPr>
          <w:trHeight w:val="261"/>
          <w:jc w:val="center"/>
        </w:trPr>
        <w:tc>
          <w:tcPr>
            <w:tcW w:w="3104" w:type="dxa"/>
            <w:tcBorders>
              <w:top w:val="nil"/>
              <w:left w:val="single" w:sz="12" w:space="0" w:color="FFFFFF"/>
              <w:bottom w:val="nil"/>
              <w:right w:val="single" w:sz="12" w:space="0" w:color="FFFFFF"/>
            </w:tcBorders>
            <w:shd w:val="clear" w:color="000000" w:fill="FFFFFF"/>
            <w:vAlign w:val="center"/>
            <w:hideMark/>
          </w:tcPr>
          <w:p w14:paraId="107640E5" w14:textId="77777777" w:rsidR="00A373EE" w:rsidRPr="005A2D06" w:rsidRDefault="00A373EE" w:rsidP="00CA4E46">
            <w:pPr>
              <w:rPr>
                <w:rFonts w:eastAsia="Times New Roman" w:cs="Arial"/>
                <w:color w:val="1F3864"/>
                <w:sz w:val="18"/>
                <w:szCs w:val="18"/>
                <w:lang w:eastAsia="es-CL"/>
              </w:rPr>
            </w:pPr>
            <w:r w:rsidRPr="005A2D06">
              <w:rPr>
                <w:rFonts w:eastAsia="Times New Roman" w:cs="Arial"/>
                <w:color w:val="1F3864" w:themeColor="accent1" w:themeShade="80"/>
                <w:sz w:val="18"/>
                <w:szCs w:val="18"/>
                <w:lang w:eastAsia="es-CL"/>
              </w:rPr>
              <w:t> </w:t>
            </w:r>
          </w:p>
        </w:tc>
        <w:tc>
          <w:tcPr>
            <w:tcW w:w="3084" w:type="dxa"/>
            <w:tcBorders>
              <w:top w:val="nil"/>
              <w:left w:val="nil"/>
              <w:bottom w:val="nil"/>
              <w:right w:val="nil"/>
            </w:tcBorders>
            <w:shd w:val="clear" w:color="auto" w:fill="auto"/>
            <w:noWrap/>
            <w:vAlign w:val="bottom"/>
            <w:hideMark/>
          </w:tcPr>
          <w:p w14:paraId="23A45B26" w14:textId="77777777" w:rsidR="00A373EE" w:rsidRPr="005A2D06" w:rsidRDefault="00A373EE" w:rsidP="00CA4E46">
            <w:pPr>
              <w:rPr>
                <w:rFonts w:eastAsia="Times New Roman" w:cs="Arial"/>
                <w:color w:val="1F3864"/>
                <w:sz w:val="18"/>
                <w:szCs w:val="18"/>
                <w:lang w:eastAsia="es-CL"/>
              </w:rPr>
            </w:pPr>
          </w:p>
        </w:tc>
      </w:tr>
      <w:tr w:rsidR="00A373EE" w:rsidRPr="005A2D06" w14:paraId="08706DE0" w14:textId="77777777" w:rsidTr="003333EA">
        <w:trPr>
          <w:trHeight w:val="261"/>
          <w:jc w:val="center"/>
        </w:trPr>
        <w:tc>
          <w:tcPr>
            <w:tcW w:w="3104" w:type="dxa"/>
            <w:tcBorders>
              <w:top w:val="nil"/>
              <w:left w:val="single" w:sz="12" w:space="0" w:color="FFFFFF"/>
              <w:bottom w:val="nil"/>
              <w:right w:val="single" w:sz="12" w:space="0" w:color="FFFFFF"/>
            </w:tcBorders>
            <w:shd w:val="clear" w:color="000000" w:fill="FFFFFF"/>
            <w:vAlign w:val="center"/>
            <w:hideMark/>
          </w:tcPr>
          <w:p w14:paraId="6599CD55" w14:textId="77777777" w:rsidR="00A373EE" w:rsidRPr="005A2D06" w:rsidRDefault="00A373EE" w:rsidP="00CA4E46">
            <w:pPr>
              <w:rPr>
                <w:rFonts w:eastAsia="Times New Roman" w:cs="Arial"/>
                <w:color w:val="1F3864"/>
                <w:sz w:val="18"/>
                <w:szCs w:val="18"/>
                <w:lang w:eastAsia="es-CL"/>
              </w:rPr>
            </w:pPr>
            <w:r w:rsidRPr="005A2D06">
              <w:rPr>
                <w:rFonts w:eastAsia="Times New Roman" w:cs="Arial"/>
                <w:color w:val="1F3864" w:themeColor="accent1" w:themeShade="80"/>
                <w:sz w:val="18"/>
                <w:szCs w:val="18"/>
                <w:lang w:eastAsia="es-CL"/>
              </w:rPr>
              <w:t>EEFF base</w:t>
            </w:r>
          </w:p>
        </w:tc>
        <w:tc>
          <w:tcPr>
            <w:tcW w:w="3084" w:type="dxa"/>
            <w:tcBorders>
              <w:top w:val="nil"/>
              <w:left w:val="nil"/>
              <w:bottom w:val="nil"/>
              <w:right w:val="single" w:sz="12" w:space="0" w:color="FFFFFF"/>
            </w:tcBorders>
            <w:shd w:val="clear" w:color="000000" w:fill="FFFFFF"/>
            <w:vAlign w:val="center"/>
            <w:hideMark/>
          </w:tcPr>
          <w:p w14:paraId="108787FA" w14:textId="77777777" w:rsidR="00217678" w:rsidRDefault="00A373EE" w:rsidP="00CA4E46">
            <w:pPr>
              <w:jc w:val="center"/>
              <w:rPr>
                <w:rFonts w:eastAsia="Times New Roman" w:cs="Arial"/>
                <w:color w:val="1F3864" w:themeColor="accent1" w:themeShade="80"/>
                <w:sz w:val="18"/>
                <w:szCs w:val="18"/>
                <w:lang w:eastAsia="es-CL"/>
              </w:rPr>
            </w:pPr>
            <w:r w:rsidRPr="005A2D06">
              <w:rPr>
                <w:rFonts w:eastAsia="Times New Roman" w:cs="Arial"/>
                <w:color w:val="1F3864" w:themeColor="accent1" w:themeShade="80"/>
                <w:sz w:val="18"/>
                <w:szCs w:val="18"/>
                <w:lang w:eastAsia="es-CL"/>
              </w:rPr>
              <w:t xml:space="preserve">30 de </w:t>
            </w:r>
            <w:r w:rsidR="00B2757C">
              <w:rPr>
                <w:rFonts w:eastAsia="Times New Roman" w:cs="Arial"/>
                <w:color w:val="1F3864" w:themeColor="accent1" w:themeShade="80"/>
                <w:sz w:val="18"/>
                <w:szCs w:val="18"/>
                <w:lang w:eastAsia="es-CL"/>
              </w:rPr>
              <w:t>septiembre</w:t>
            </w:r>
            <w:r w:rsidRPr="005A2D06">
              <w:rPr>
                <w:rFonts w:eastAsia="Times New Roman" w:cs="Arial"/>
                <w:color w:val="1F3864" w:themeColor="accent1" w:themeShade="80"/>
                <w:sz w:val="18"/>
                <w:szCs w:val="18"/>
                <w:lang w:eastAsia="es-CL"/>
              </w:rPr>
              <w:t xml:space="preserve"> de 2021</w:t>
            </w:r>
            <w:r w:rsidR="00422E45">
              <w:rPr>
                <w:rFonts w:eastAsia="Times New Roman" w:cs="Arial"/>
                <w:color w:val="1F3864" w:themeColor="accent1" w:themeShade="80"/>
                <w:sz w:val="18"/>
                <w:szCs w:val="18"/>
                <w:lang w:eastAsia="es-CL"/>
              </w:rPr>
              <w:t xml:space="preserve"> </w:t>
            </w:r>
          </w:p>
          <w:p w14:paraId="586727D8" w14:textId="00351C33" w:rsidR="00A373EE" w:rsidRPr="005A2D06" w:rsidRDefault="00422E45" w:rsidP="00CA4E46">
            <w:pPr>
              <w:jc w:val="center"/>
              <w:rPr>
                <w:rFonts w:eastAsia="Times New Roman" w:cs="Arial"/>
                <w:color w:val="1F3864"/>
                <w:sz w:val="18"/>
                <w:szCs w:val="18"/>
                <w:lang w:eastAsia="es-CL"/>
              </w:rPr>
            </w:pPr>
            <w:r>
              <w:rPr>
                <w:rFonts w:eastAsia="Times New Roman" w:cs="Arial"/>
                <w:color w:val="1F3864" w:themeColor="accent1" w:themeShade="80"/>
                <w:sz w:val="18"/>
                <w:szCs w:val="18"/>
                <w:lang w:eastAsia="es-CL"/>
              </w:rPr>
              <w:t>(No auditado)</w:t>
            </w:r>
            <w:r w:rsidR="00C83259">
              <w:rPr>
                <w:rStyle w:val="Refdenotaalpie"/>
                <w:rFonts w:eastAsia="Times New Roman" w:cs="Arial"/>
                <w:color w:val="1F3864" w:themeColor="accent1" w:themeShade="80"/>
                <w:sz w:val="18"/>
                <w:szCs w:val="18"/>
                <w:lang w:eastAsia="es-CL"/>
              </w:rPr>
              <w:footnoteReference w:id="2"/>
            </w:r>
          </w:p>
        </w:tc>
      </w:tr>
    </w:tbl>
    <w:p w14:paraId="299FB668" w14:textId="24196D77" w:rsidR="00134791" w:rsidRDefault="00134791" w:rsidP="00C576DC"/>
    <w:p w14:paraId="7E893E2D" w14:textId="77777777" w:rsidR="002A6755" w:rsidRDefault="002A6755" w:rsidP="00C576DC"/>
    <w:tbl>
      <w:tblPr>
        <w:tblW w:w="1108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4A0" w:firstRow="1" w:lastRow="0" w:firstColumn="1" w:lastColumn="0" w:noHBand="0" w:noVBand="1"/>
      </w:tblPr>
      <w:tblGrid>
        <w:gridCol w:w="2245"/>
        <w:gridCol w:w="8838"/>
      </w:tblGrid>
      <w:tr w:rsidR="000A5264" w:rsidRPr="00774C02" w14:paraId="15131D9D" w14:textId="77777777" w:rsidTr="003333EA">
        <w:trPr>
          <w:cantSplit/>
          <w:trHeight w:val="309"/>
          <w:jc w:val="center"/>
        </w:trPr>
        <w:tc>
          <w:tcPr>
            <w:tcW w:w="11083" w:type="dxa"/>
            <w:gridSpan w:val="2"/>
            <w:tcBorders>
              <w:top w:val="single" w:sz="18" w:space="0" w:color="FFFFFF"/>
              <w:left w:val="single" w:sz="18" w:space="0" w:color="FFFFFF"/>
              <w:bottom w:val="single" w:sz="18" w:space="0" w:color="FFFFFF"/>
              <w:right w:val="single" w:sz="18" w:space="0" w:color="FFFFFF"/>
            </w:tcBorders>
            <w:shd w:val="clear" w:color="auto" w:fill="C00000"/>
            <w:vAlign w:val="center"/>
            <w:hideMark/>
          </w:tcPr>
          <w:p w14:paraId="1CC03738" w14:textId="77777777" w:rsidR="000A5264" w:rsidRPr="00774C02" w:rsidRDefault="000A5264" w:rsidP="005F06EF">
            <w:pPr>
              <w:jc w:val="center"/>
              <w:rPr>
                <w:rFonts w:ascii="Verdana" w:hAnsi="Verdana"/>
                <w:b/>
                <w:bCs/>
                <w:color w:val="5F5F5F"/>
                <w:sz w:val="16"/>
                <w:szCs w:val="16"/>
                <w:lang w:eastAsia="es-CL"/>
              </w:rPr>
            </w:pPr>
            <w:r>
              <w:rPr>
                <w:rFonts w:eastAsia="Times New Roman" w:cs="Calibri"/>
                <w:b/>
                <w:bCs/>
                <w:color w:val="FFFFFF" w:themeColor="background1"/>
                <w:sz w:val="18"/>
                <w:szCs w:val="18"/>
                <w:lang w:eastAsia="es-CL"/>
              </w:rPr>
              <w:t xml:space="preserve">Características de la línea de bonos en proceso de inscripción </w:t>
            </w:r>
          </w:p>
        </w:tc>
      </w:tr>
      <w:tr w:rsidR="000A5264" w:rsidRPr="00271E81" w14:paraId="5C90B203" w14:textId="77777777" w:rsidTr="003333EA">
        <w:trPr>
          <w:cantSplit/>
          <w:trHeight w:val="2314"/>
          <w:jc w:val="center"/>
        </w:trPr>
        <w:tc>
          <w:tcPr>
            <w:tcW w:w="2245" w:type="dxa"/>
            <w:tcBorders>
              <w:top w:val="single" w:sz="18" w:space="0" w:color="FFFFFF"/>
              <w:left w:val="single" w:sz="18" w:space="0" w:color="FFFFFF"/>
              <w:bottom w:val="single" w:sz="18" w:space="0" w:color="FFFFFF"/>
              <w:right w:val="single" w:sz="18" w:space="0" w:color="FFFFFF"/>
            </w:tcBorders>
            <w:shd w:val="clear" w:color="auto" w:fill="auto"/>
            <w:hideMark/>
          </w:tcPr>
          <w:p w14:paraId="1963C157" w14:textId="77777777" w:rsidR="000A5264" w:rsidRPr="006F6F3E" w:rsidRDefault="000A5264" w:rsidP="005F06EF">
            <w:pPr>
              <w:rPr>
                <w:sz w:val="18"/>
                <w:szCs w:val="20"/>
                <w:lang w:eastAsia="es-CL"/>
              </w:rPr>
            </w:pPr>
            <w:r w:rsidRPr="006F6F3E">
              <w:rPr>
                <w:sz w:val="18"/>
                <w:szCs w:val="20"/>
                <w:lang w:eastAsia="es-CL"/>
              </w:rPr>
              <w:t>Plazo máximo</w:t>
            </w:r>
          </w:p>
          <w:p w14:paraId="22FCEE04" w14:textId="77777777" w:rsidR="000A5264" w:rsidRPr="006F6F3E" w:rsidRDefault="000A5264" w:rsidP="005F06EF">
            <w:pPr>
              <w:rPr>
                <w:sz w:val="18"/>
                <w:szCs w:val="20"/>
                <w:lang w:eastAsia="es-CL"/>
              </w:rPr>
            </w:pPr>
          </w:p>
          <w:p w14:paraId="5C43C6E6" w14:textId="77777777" w:rsidR="000A5264" w:rsidRPr="006F6F3E" w:rsidRDefault="000A5264" w:rsidP="005F06EF">
            <w:pPr>
              <w:rPr>
                <w:sz w:val="18"/>
                <w:szCs w:val="20"/>
                <w:lang w:eastAsia="es-CL"/>
              </w:rPr>
            </w:pPr>
            <w:r w:rsidRPr="006F6F3E">
              <w:rPr>
                <w:sz w:val="18"/>
                <w:szCs w:val="20"/>
                <w:lang w:eastAsia="es-CL"/>
              </w:rPr>
              <w:t>Monto máximo</w:t>
            </w:r>
          </w:p>
          <w:p w14:paraId="2F324F48" w14:textId="77777777" w:rsidR="000A5264" w:rsidRPr="006F6F3E" w:rsidRDefault="000A5264" w:rsidP="005F06EF">
            <w:pPr>
              <w:rPr>
                <w:sz w:val="18"/>
                <w:szCs w:val="20"/>
                <w:lang w:eastAsia="es-CL"/>
              </w:rPr>
            </w:pPr>
          </w:p>
          <w:p w14:paraId="38183BF2" w14:textId="77777777" w:rsidR="000A5264" w:rsidRPr="006F6F3E" w:rsidRDefault="000A5264" w:rsidP="005F06EF">
            <w:pPr>
              <w:rPr>
                <w:sz w:val="18"/>
                <w:szCs w:val="20"/>
                <w:lang w:eastAsia="es-CL"/>
              </w:rPr>
            </w:pPr>
            <w:r w:rsidRPr="006F6F3E">
              <w:rPr>
                <w:sz w:val="18"/>
                <w:szCs w:val="20"/>
                <w:lang w:eastAsia="es-CL"/>
              </w:rPr>
              <w:t>Moneda de emisión</w:t>
            </w:r>
          </w:p>
          <w:p w14:paraId="14C09500" w14:textId="77777777" w:rsidR="000A5264" w:rsidRPr="006F6F3E" w:rsidRDefault="000A5264" w:rsidP="005F06EF">
            <w:pPr>
              <w:ind w:left="-242" w:firstLine="242"/>
              <w:rPr>
                <w:sz w:val="18"/>
                <w:szCs w:val="20"/>
                <w:lang w:eastAsia="es-CL"/>
              </w:rPr>
            </w:pPr>
          </w:p>
          <w:p w14:paraId="3B20CB8F" w14:textId="77777777" w:rsidR="000A5264" w:rsidRPr="006F6F3E" w:rsidRDefault="000A5264" w:rsidP="005F06EF">
            <w:pPr>
              <w:ind w:left="-242" w:firstLine="242"/>
              <w:rPr>
                <w:sz w:val="18"/>
                <w:szCs w:val="20"/>
                <w:lang w:eastAsia="es-CL"/>
              </w:rPr>
            </w:pPr>
            <w:r w:rsidRPr="006F6F3E">
              <w:rPr>
                <w:sz w:val="18"/>
                <w:szCs w:val="20"/>
                <w:lang w:eastAsia="es-CL"/>
              </w:rPr>
              <w:t>Uso de fondos</w:t>
            </w:r>
          </w:p>
          <w:p w14:paraId="742E0D61" w14:textId="77777777" w:rsidR="000A5264" w:rsidRPr="006F6F3E" w:rsidRDefault="000A5264" w:rsidP="005F06EF">
            <w:pPr>
              <w:rPr>
                <w:sz w:val="18"/>
                <w:szCs w:val="20"/>
                <w:lang w:eastAsia="es-CL"/>
              </w:rPr>
            </w:pPr>
          </w:p>
          <w:p w14:paraId="25C439AD" w14:textId="77777777" w:rsidR="000A5264" w:rsidRPr="006F6F3E" w:rsidRDefault="000A5264" w:rsidP="005F06EF">
            <w:pPr>
              <w:rPr>
                <w:sz w:val="18"/>
                <w:szCs w:val="20"/>
                <w:lang w:eastAsia="es-CL"/>
              </w:rPr>
            </w:pPr>
          </w:p>
          <w:p w14:paraId="73E56A00" w14:textId="77777777" w:rsidR="000A5264" w:rsidRPr="006F6F3E" w:rsidRDefault="000A5264" w:rsidP="005F06EF">
            <w:pPr>
              <w:rPr>
                <w:sz w:val="18"/>
                <w:szCs w:val="20"/>
                <w:lang w:eastAsia="es-CL"/>
              </w:rPr>
            </w:pPr>
          </w:p>
          <w:p w14:paraId="50B9FC04" w14:textId="7D52AB62" w:rsidR="000A5264" w:rsidRPr="0075638C" w:rsidRDefault="000A5264" w:rsidP="005F06EF">
            <w:pPr>
              <w:rPr>
                <w:sz w:val="18"/>
                <w:szCs w:val="20"/>
                <w:lang w:eastAsia="es-CL"/>
              </w:rPr>
            </w:pPr>
            <w:proofErr w:type="spellStart"/>
            <w:r w:rsidRPr="002A6755">
              <w:rPr>
                <w:i/>
                <w:iCs/>
                <w:sz w:val="18"/>
                <w:szCs w:val="20"/>
                <w:lang w:eastAsia="es-CL"/>
              </w:rPr>
              <w:t>Covenants</w:t>
            </w:r>
            <w:proofErr w:type="spellEnd"/>
            <w:r w:rsidRPr="007B36F6">
              <w:rPr>
                <w:sz w:val="18"/>
                <w:szCs w:val="20"/>
                <w:lang w:eastAsia="es-CL"/>
              </w:rPr>
              <w:t xml:space="preserve"> financieros</w:t>
            </w:r>
          </w:p>
          <w:p w14:paraId="0A05F5EE" w14:textId="77777777" w:rsidR="000A5264" w:rsidRPr="00C27503" w:rsidRDefault="000A5264" w:rsidP="005F06EF">
            <w:pPr>
              <w:rPr>
                <w:sz w:val="18"/>
                <w:szCs w:val="20"/>
                <w:lang w:eastAsia="es-CL"/>
              </w:rPr>
            </w:pPr>
          </w:p>
          <w:p w14:paraId="21B86216" w14:textId="77777777" w:rsidR="000A5264" w:rsidRPr="00691A87" w:rsidRDefault="000A5264" w:rsidP="005F06EF">
            <w:pPr>
              <w:rPr>
                <w:sz w:val="18"/>
                <w:szCs w:val="20"/>
                <w:lang w:eastAsia="es-CL"/>
              </w:rPr>
            </w:pPr>
          </w:p>
          <w:p w14:paraId="3997A96E" w14:textId="77777777" w:rsidR="000A5264" w:rsidRPr="002E46DF" w:rsidRDefault="000A5264" w:rsidP="005F06EF">
            <w:pPr>
              <w:rPr>
                <w:sz w:val="18"/>
                <w:szCs w:val="20"/>
                <w:lang w:eastAsia="es-CL"/>
              </w:rPr>
            </w:pPr>
          </w:p>
          <w:p w14:paraId="1347BECF" w14:textId="77777777" w:rsidR="000A5264" w:rsidRPr="00902B56" w:rsidRDefault="000A5264" w:rsidP="005F06EF">
            <w:pPr>
              <w:rPr>
                <w:sz w:val="18"/>
                <w:szCs w:val="20"/>
                <w:lang w:eastAsia="es-CL"/>
              </w:rPr>
            </w:pPr>
            <w:r w:rsidRPr="00225F57">
              <w:rPr>
                <w:sz w:val="18"/>
                <w:szCs w:val="20"/>
                <w:lang w:eastAsia="es-CL"/>
              </w:rPr>
              <w:t>Garantías</w:t>
            </w:r>
          </w:p>
          <w:p w14:paraId="426FB622" w14:textId="77777777" w:rsidR="000A5264" w:rsidRPr="008E1420" w:rsidRDefault="000A5264" w:rsidP="005F06EF">
            <w:pPr>
              <w:rPr>
                <w:rFonts w:ascii="Verdana" w:hAnsi="Verdana"/>
                <w:color w:val="5F5F5F"/>
                <w:sz w:val="16"/>
                <w:szCs w:val="16"/>
              </w:rPr>
            </w:pPr>
          </w:p>
        </w:tc>
        <w:tc>
          <w:tcPr>
            <w:tcW w:w="8838" w:type="dxa"/>
            <w:tcBorders>
              <w:top w:val="single" w:sz="18" w:space="0" w:color="FFFFFF"/>
              <w:left w:val="single" w:sz="18" w:space="0" w:color="FFFFFF"/>
              <w:bottom w:val="single" w:sz="18" w:space="0" w:color="FFFFFF"/>
              <w:right w:val="single" w:sz="18" w:space="0" w:color="FFFFFF"/>
            </w:tcBorders>
            <w:shd w:val="clear" w:color="auto" w:fill="auto"/>
            <w:hideMark/>
          </w:tcPr>
          <w:p w14:paraId="52AB1343" w14:textId="37073565" w:rsidR="000A5264" w:rsidRPr="00357D02" w:rsidRDefault="0058769A" w:rsidP="005F06EF">
            <w:pPr>
              <w:jc w:val="both"/>
              <w:rPr>
                <w:sz w:val="18"/>
                <w:szCs w:val="20"/>
                <w:lang w:eastAsia="es-CL"/>
              </w:rPr>
            </w:pPr>
            <w:r>
              <w:rPr>
                <w:sz w:val="18"/>
                <w:szCs w:val="20"/>
                <w:lang w:eastAsia="es-CL"/>
              </w:rPr>
              <w:t>10</w:t>
            </w:r>
            <w:r w:rsidR="000A5264" w:rsidRPr="006F6F3E">
              <w:rPr>
                <w:sz w:val="18"/>
                <w:szCs w:val="20"/>
                <w:lang w:eastAsia="es-CL"/>
              </w:rPr>
              <w:t xml:space="preserve"> </w:t>
            </w:r>
            <w:r w:rsidR="000A5264" w:rsidRPr="00357D02">
              <w:rPr>
                <w:sz w:val="18"/>
                <w:szCs w:val="20"/>
                <w:lang w:eastAsia="es-CL"/>
              </w:rPr>
              <w:t>años.</w:t>
            </w:r>
          </w:p>
          <w:p w14:paraId="080ED42D" w14:textId="77777777" w:rsidR="000A5264" w:rsidRPr="000A43B5" w:rsidRDefault="000A5264" w:rsidP="005F06EF">
            <w:pPr>
              <w:jc w:val="both"/>
              <w:rPr>
                <w:sz w:val="18"/>
                <w:szCs w:val="20"/>
                <w:lang w:eastAsia="es-CL"/>
              </w:rPr>
            </w:pPr>
          </w:p>
          <w:p w14:paraId="3BEE65DD" w14:textId="52DBA87C" w:rsidR="000A5264" w:rsidRPr="00C27503" w:rsidRDefault="00ED397A" w:rsidP="005F06EF">
            <w:pPr>
              <w:jc w:val="both"/>
              <w:rPr>
                <w:sz w:val="18"/>
                <w:szCs w:val="20"/>
                <w:lang w:eastAsia="es-CL"/>
              </w:rPr>
            </w:pPr>
            <w:r>
              <w:rPr>
                <w:sz w:val="18"/>
                <w:szCs w:val="20"/>
                <w:lang w:eastAsia="es-CL"/>
              </w:rPr>
              <w:t>UF 2 millones</w:t>
            </w:r>
            <w:r w:rsidR="000A5264" w:rsidRPr="0075638C">
              <w:rPr>
                <w:sz w:val="18"/>
                <w:szCs w:val="20"/>
                <w:lang w:eastAsia="es-CL"/>
              </w:rPr>
              <w:t>.</w:t>
            </w:r>
          </w:p>
          <w:p w14:paraId="43C6ACDF" w14:textId="77777777" w:rsidR="000A5264" w:rsidRPr="00691A87" w:rsidRDefault="000A5264" w:rsidP="005F06EF">
            <w:pPr>
              <w:jc w:val="both"/>
              <w:rPr>
                <w:sz w:val="18"/>
                <w:szCs w:val="20"/>
                <w:lang w:eastAsia="es-CL"/>
              </w:rPr>
            </w:pPr>
          </w:p>
          <w:p w14:paraId="37E2BBD5" w14:textId="312CC15C" w:rsidR="000A5264" w:rsidRPr="002C40DC" w:rsidRDefault="000A5264" w:rsidP="005F06EF">
            <w:pPr>
              <w:jc w:val="both"/>
              <w:rPr>
                <w:sz w:val="18"/>
                <w:szCs w:val="20"/>
                <w:lang w:eastAsia="es-CL"/>
              </w:rPr>
            </w:pPr>
            <w:r w:rsidRPr="002E46DF">
              <w:rPr>
                <w:sz w:val="18"/>
                <w:szCs w:val="20"/>
                <w:lang w:eastAsia="es-CL"/>
              </w:rPr>
              <w:t>UF</w:t>
            </w:r>
            <w:r w:rsidR="00AC0074">
              <w:rPr>
                <w:sz w:val="18"/>
                <w:szCs w:val="20"/>
                <w:lang w:eastAsia="es-CL"/>
              </w:rPr>
              <w:t xml:space="preserve"> o pesos</w:t>
            </w:r>
            <w:r w:rsidRPr="002E46DF">
              <w:rPr>
                <w:sz w:val="18"/>
                <w:szCs w:val="20"/>
                <w:lang w:eastAsia="es-CL"/>
              </w:rPr>
              <w:t>.</w:t>
            </w:r>
          </w:p>
          <w:p w14:paraId="104CA589" w14:textId="77777777" w:rsidR="000A5264" w:rsidRPr="00225F57" w:rsidRDefault="000A5264" w:rsidP="005F06EF">
            <w:pPr>
              <w:jc w:val="both"/>
              <w:rPr>
                <w:sz w:val="18"/>
                <w:szCs w:val="20"/>
                <w:lang w:eastAsia="es-CL"/>
              </w:rPr>
            </w:pPr>
          </w:p>
          <w:p w14:paraId="62FA5245" w14:textId="6204B0FC" w:rsidR="000A5264" w:rsidRPr="008E1420" w:rsidRDefault="000A5264" w:rsidP="005F06EF">
            <w:pPr>
              <w:jc w:val="both"/>
              <w:rPr>
                <w:sz w:val="18"/>
                <w:szCs w:val="20"/>
                <w:lang w:eastAsia="es-CL"/>
              </w:rPr>
            </w:pPr>
            <w:r w:rsidRPr="00902B56">
              <w:rPr>
                <w:sz w:val="18"/>
                <w:szCs w:val="20"/>
                <w:lang w:eastAsia="es-CL"/>
              </w:rPr>
              <w:t xml:space="preserve">Los fondos provenientes de la colocación de los </w:t>
            </w:r>
            <w:r w:rsidR="003333EA">
              <w:rPr>
                <w:sz w:val="18"/>
                <w:szCs w:val="20"/>
                <w:lang w:eastAsia="es-CL"/>
              </w:rPr>
              <w:t>b</w:t>
            </w:r>
            <w:r w:rsidRPr="00902B56">
              <w:rPr>
                <w:sz w:val="18"/>
                <w:szCs w:val="20"/>
                <w:lang w:eastAsia="es-CL"/>
              </w:rPr>
              <w:t xml:space="preserve">onos correspondientes a la </w:t>
            </w:r>
            <w:r w:rsidRPr="008E1420">
              <w:rPr>
                <w:sz w:val="18"/>
                <w:szCs w:val="20"/>
                <w:lang w:eastAsia="es-CL"/>
              </w:rPr>
              <w:t xml:space="preserve">línea se destinarán </w:t>
            </w:r>
            <w:r w:rsidR="00123E1C" w:rsidRPr="00123E1C">
              <w:rPr>
                <w:sz w:val="18"/>
                <w:szCs w:val="20"/>
                <w:lang w:eastAsia="es-CL"/>
              </w:rPr>
              <w:t xml:space="preserve">a fines generales del </w:t>
            </w:r>
            <w:r w:rsidR="002A6755">
              <w:rPr>
                <w:sz w:val="18"/>
                <w:szCs w:val="20"/>
                <w:lang w:eastAsia="es-CL"/>
              </w:rPr>
              <w:t>e</w:t>
            </w:r>
            <w:r w:rsidR="00123E1C" w:rsidRPr="00123E1C">
              <w:rPr>
                <w:sz w:val="18"/>
                <w:szCs w:val="20"/>
                <w:lang w:eastAsia="es-CL"/>
              </w:rPr>
              <w:t>misor, lo que incluye el financiamiento de sus operaciones y las actividades relacionadas a su objeto social, el financiamiento de inversiones</w:t>
            </w:r>
            <w:r w:rsidR="002A6755">
              <w:rPr>
                <w:sz w:val="18"/>
                <w:szCs w:val="20"/>
                <w:lang w:eastAsia="es-CL"/>
              </w:rPr>
              <w:t>,</w:t>
            </w:r>
            <w:r w:rsidR="00123E1C" w:rsidRPr="00123E1C">
              <w:rPr>
                <w:sz w:val="18"/>
                <w:szCs w:val="20"/>
                <w:lang w:eastAsia="es-CL"/>
              </w:rPr>
              <w:t xml:space="preserve"> y el refinanciamiento de sus pasivos de corto y largo plazo.</w:t>
            </w:r>
          </w:p>
          <w:p w14:paraId="383318F4" w14:textId="77777777" w:rsidR="000A5264" w:rsidRPr="008E1420" w:rsidRDefault="000A5264" w:rsidP="005F06EF">
            <w:pPr>
              <w:jc w:val="both"/>
              <w:rPr>
                <w:sz w:val="18"/>
                <w:szCs w:val="20"/>
                <w:lang w:eastAsia="es-CL"/>
              </w:rPr>
            </w:pPr>
          </w:p>
          <w:p w14:paraId="2BE04F0A" w14:textId="77777777" w:rsidR="00ED0B8A" w:rsidRDefault="0086041B" w:rsidP="000A5264">
            <w:pPr>
              <w:pStyle w:val="Prrafodelista"/>
              <w:numPr>
                <w:ilvl w:val="0"/>
                <w:numId w:val="6"/>
              </w:numPr>
              <w:jc w:val="both"/>
              <w:rPr>
                <w:sz w:val="18"/>
                <w:szCs w:val="20"/>
                <w:lang w:eastAsia="es-CL"/>
              </w:rPr>
            </w:pPr>
            <w:r>
              <w:rPr>
                <w:sz w:val="18"/>
                <w:szCs w:val="20"/>
                <w:lang w:eastAsia="es-CL"/>
              </w:rPr>
              <w:t xml:space="preserve">Relación de endeudamiento financiero no superior a </w:t>
            </w:r>
            <w:r w:rsidR="00EE1FDA">
              <w:rPr>
                <w:sz w:val="18"/>
                <w:szCs w:val="20"/>
                <w:lang w:eastAsia="es-CL"/>
              </w:rPr>
              <w:t>1,75 veces.</w:t>
            </w:r>
          </w:p>
          <w:p w14:paraId="51375443" w14:textId="15311FBA" w:rsidR="00DF4827" w:rsidRDefault="00ED0B8A" w:rsidP="000A5264">
            <w:pPr>
              <w:pStyle w:val="Prrafodelista"/>
              <w:numPr>
                <w:ilvl w:val="0"/>
                <w:numId w:val="6"/>
              </w:numPr>
              <w:jc w:val="both"/>
              <w:rPr>
                <w:sz w:val="18"/>
                <w:szCs w:val="20"/>
                <w:lang w:eastAsia="es-CL"/>
              </w:rPr>
            </w:pPr>
            <w:r>
              <w:rPr>
                <w:sz w:val="18"/>
                <w:szCs w:val="20"/>
                <w:lang w:eastAsia="es-CL"/>
              </w:rPr>
              <w:t xml:space="preserve">Patrimonio total </w:t>
            </w:r>
            <w:r w:rsidR="00DF4827">
              <w:rPr>
                <w:sz w:val="18"/>
                <w:szCs w:val="20"/>
                <w:lang w:eastAsia="es-CL"/>
              </w:rPr>
              <w:t xml:space="preserve">mínimo de </w:t>
            </w:r>
            <w:r w:rsidR="002A6755">
              <w:rPr>
                <w:sz w:val="18"/>
                <w:szCs w:val="20"/>
                <w:lang w:eastAsia="es-CL"/>
              </w:rPr>
              <w:t>$</w:t>
            </w:r>
            <w:r w:rsidR="00DF4827">
              <w:rPr>
                <w:sz w:val="18"/>
                <w:szCs w:val="20"/>
                <w:lang w:eastAsia="es-CL"/>
              </w:rPr>
              <w:t xml:space="preserve">19 mil millones. </w:t>
            </w:r>
          </w:p>
          <w:p w14:paraId="1AF30371" w14:textId="474A8732" w:rsidR="000A5264" w:rsidRPr="008E1420" w:rsidRDefault="00DF4827" w:rsidP="00AB219D">
            <w:pPr>
              <w:pStyle w:val="Prrafodelista"/>
              <w:numPr>
                <w:ilvl w:val="0"/>
                <w:numId w:val="6"/>
              </w:numPr>
              <w:jc w:val="both"/>
              <w:rPr>
                <w:sz w:val="18"/>
                <w:szCs w:val="20"/>
                <w:lang w:eastAsia="es-CL"/>
              </w:rPr>
            </w:pPr>
            <w:proofErr w:type="spellStart"/>
            <w:r>
              <w:rPr>
                <w:sz w:val="18"/>
                <w:szCs w:val="20"/>
                <w:lang w:eastAsia="es-CL"/>
              </w:rPr>
              <w:t>Cobeertura</w:t>
            </w:r>
            <w:proofErr w:type="spellEnd"/>
            <w:r>
              <w:rPr>
                <w:sz w:val="18"/>
                <w:szCs w:val="20"/>
                <w:lang w:eastAsia="es-CL"/>
              </w:rPr>
              <w:t xml:space="preserve"> de gastos financieros </w:t>
            </w:r>
            <w:r w:rsidR="00163C15">
              <w:rPr>
                <w:sz w:val="18"/>
                <w:szCs w:val="20"/>
                <w:lang w:eastAsia="es-CL"/>
              </w:rPr>
              <w:t xml:space="preserve">igual o mayor a 3 veces. </w:t>
            </w:r>
          </w:p>
          <w:p w14:paraId="77D7D911" w14:textId="77777777" w:rsidR="000A5264" w:rsidRPr="008E1420" w:rsidRDefault="000A5264" w:rsidP="005F06EF">
            <w:pPr>
              <w:jc w:val="both"/>
              <w:rPr>
                <w:sz w:val="18"/>
                <w:szCs w:val="20"/>
                <w:lang w:eastAsia="es-CL"/>
              </w:rPr>
            </w:pPr>
          </w:p>
          <w:p w14:paraId="0D85AED4" w14:textId="0B0A0C0A" w:rsidR="000A5264" w:rsidRPr="0091739B" w:rsidRDefault="0091739B" w:rsidP="0091739B">
            <w:pPr>
              <w:jc w:val="both"/>
              <w:rPr>
                <w:rFonts w:ascii="Verdana" w:hAnsi="Verdana"/>
                <w:color w:val="5F5F5F"/>
                <w:sz w:val="16"/>
                <w:szCs w:val="16"/>
              </w:rPr>
            </w:pPr>
            <w:r w:rsidRPr="0091739B">
              <w:rPr>
                <w:sz w:val="18"/>
                <w:szCs w:val="20"/>
                <w:lang w:eastAsia="es-CL"/>
              </w:rPr>
              <w:t xml:space="preserve">El </w:t>
            </w:r>
            <w:r w:rsidR="002A6755">
              <w:rPr>
                <w:sz w:val="18"/>
                <w:szCs w:val="20"/>
                <w:lang w:eastAsia="es-CL"/>
              </w:rPr>
              <w:t>em</w:t>
            </w:r>
            <w:r w:rsidRPr="0091739B">
              <w:rPr>
                <w:sz w:val="18"/>
                <w:szCs w:val="20"/>
                <w:lang w:eastAsia="es-CL"/>
              </w:rPr>
              <w:t xml:space="preserve">isor no otorgará garantías especiales </w:t>
            </w:r>
            <w:proofErr w:type="gramStart"/>
            <w:r w:rsidRPr="0091739B">
              <w:rPr>
                <w:sz w:val="18"/>
                <w:szCs w:val="20"/>
                <w:lang w:eastAsia="es-CL"/>
              </w:rPr>
              <w:t>en relación a</w:t>
            </w:r>
            <w:proofErr w:type="gramEnd"/>
            <w:r w:rsidRPr="0091739B">
              <w:rPr>
                <w:sz w:val="18"/>
                <w:szCs w:val="20"/>
                <w:lang w:eastAsia="es-CL"/>
              </w:rPr>
              <w:t xml:space="preserve"> los </w:t>
            </w:r>
            <w:r w:rsidR="002A6755">
              <w:rPr>
                <w:sz w:val="18"/>
                <w:szCs w:val="20"/>
                <w:lang w:eastAsia="es-CL"/>
              </w:rPr>
              <w:t>b</w:t>
            </w:r>
            <w:r w:rsidRPr="0091739B">
              <w:rPr>
                <w:sz w:val="18"/>
                <w:szCs w:val="20"/>
                <w:lang w:eastAsia="es-CL"/>
              </w:rPr>
              <w:t xml:space="preserve">onos que se coloquen con cargo a la </w:t>
            </w:r>
            <w:r w:rsidR="002A6755">
              <w:rPr>
                <w:sz w:val="18"/>
                <w:szCs w:val="20"/>
                <w:lang w:eastAsia="es-CL"/>
              </w:rPr>
              <w:t>l</w:t>
            </w:r>
            <w:r w:rsidRPr="0091739B">
              <w:rPr>
                <w:sz w:val="18"/>
                <w:szCs w:val="20"/>
                <w:lang w:eastAsia="es-CL"/>
              </w:rPr>
              <w:t xml:space="preserve">ínea de </w:t>
            </w:r>
            <w:r w:rsidR="002A6755">
              <w:rPr>
                <w:sz w:val="18"/>
                <w:szCs w:val="20"/>
                <w:lang w:eastAsia="es-CL"/>
              </w:rPr>
              <w:t>b</w:t>
            </w:r>
            <w:r w:rsidRPr="0091739B">
              <w:rPr>
                <w:sz w:val="18"/>
                <w:szCs w:val="20"/>
                <w:lang w:eastAsia="es-CL"/>
              </w:rPr>
              <w:t xml:space="preserve">onos. Lo anterior, es sin perjuicio del derecho de prenda general sobre los bienes del </w:t>
            </w:r>
            <w:r w:rsidR="002A6755">
              <w:rPr>
                <w:sz w:val="18"/>
                <w:szCs w:val="20"/>
                <w:lang w:eastAsia="es-CL"/>
              </w:rPr>
              <w:t>e</w:t>
            </w:r>
            <w:r w:rsidRPr="0091739B">
              <w:rPr>
                <w:sz w:val="18"/>
                <w:szCs w:val="20"/>
                <w:lang w:eastAsia="es-CL"/>
              </w:rPr>
              <w:t xml:space="preserve">misor, </w:t>
            </w:r>
            <w:proofErr w:type="gramStart"/>
            <w:r w:rsidRPr="0091739B">
              <w:rPr>
                <w:sz w:val="18"/>
                <w:szCs w:val="20"/>
                <w:lang w:eastAsia="es-CL"/>
              </w:rPr>
              <w:t>de acuerdo a</w:t>
            </w:r>
            <w:proofErr w:type="gramEnd"/>
            <w:r w:rsidRPr="0091739B">
              <w:rPr>
                <w:sz w:val="18"/>
                <w:szCs w:val="20"/>
                <w:lang w:eastAsia="es-CL"/>
              </w:rPr>
              <w:t xml:space="preserve"> los artículos </w:t>
            </w:r>
            <w:r w:rsidR="002A6755">
              <w:rPr>
                <w:sz w:val="18"/>
                <w:szCs w:val="20"/>
                <w:lang w:eastAsia="es-CL"/>
              </w:rPr>
              <w:t xml:space="preserve">2.465 </w:t>
            </w:r>
            <w:r w:rsidRPr="0091739B">
              <w:rPr>
                <w:sz w:val="18"/>
                <w:szCs w:val="20"/>
                <w:lang w:eastAsia="es-CL"/>
              </w:rPr>
              <w:t xml:space="preserve">y </w:t>
            </w:r>
            <w:r w:rsidR="002A6755">
              <w:rPr>
                <w:sz w:val="18"/>
                <w:szCs w:val="20"/>
                <w:lang w:eastAsia="es-CL"/>
              </w:rPr>
              <w:t>2.469</w:t>
            </w:r>
            <w:r w:rsidRPr="0091739B">
              <w:rPr>
                <w:sz w:val="18"/>
                <w:szCs w:val="20"/>
                <w:lang w:eastAsia="es-CL"/>
              </w:rPr>
              <w:t xml:space="preserve"> del Código Civil.</w:t>
            </w:r>
          </w:p>
        </w:tc>
      </w:tr>
    </w:tbl>
    <w:p w14:paraId="324EB2ED" w14:textId="3EAE69D2" w:rsidR="00824352" w:rsidRDefault="00824352"/>
    <w:tbl>
      <w:tblPr>
        <w:tblW w:w="11196" w:type="dxa"/>
        <w:tblInd w:w="-567" w:type="dxa"/>
        <w:tblCellMar>
          <w:left w:w="70" w:type="dxa"/>
          <w:right w:w="70" w:type="dxa"/>
        </w:tblCellMar>
        <w:tblLook w:val="04A0" w:firstRow="1" w:lastRow="0" w:firstColumn="1" w:lastColumn="0" w:noHBand="0" w:noVBand="1"/>
      </w:tblPr>
      <w:tblGrid>
        <w:gridCol w:w="3020"/>
        <w:gridCol w:w="1385"/>
        <w:gridCol w:w="1388"/>
        <w:gridCol w:w="1388"/>
        <w:gridCol w:w="1442"/>
        <w:gridCol w:w="1406"/>
        <w:gridCol w:w="1167"/>
      </w:tblGrid>
      <w:tr w:rsidR="002A6755" w:rsidRPr="009F50DF" w14:paraId="15AE33BF" w14:textId="77777777" w:rsidTr="004701C1">
        <w:trPr>
          <w:trHeight w:val="327"/>
        </w:trPr>
        <w:tc>
          <w:tcPr>
            <w:tcW w:w="11196" w:type="dxa"/>
            <w:gridSpan w:val="7"/>
            <w:tcBorders>
              <w:top w:val="nil"/>
              <w:left w:val="nil"/>
              <w:bottom w:val="nil"/>
              <w:right w:val="nil"/>
            </w:tcBorders>
            <w:shd w:val="clear" w:color="000000" w:fill="BB1823"/>
            <w:noWrap/>
            <w:vAlign w:val="center"/>
            <w:hideMark/>
          </w:tcPr>
          <w:p w14:paraId="6C1FA949" w14:textId="6C12400B" w:rsidR="002A6755" w:rsidRPr="009F50DF" w:rsidRDefault="002A6755" w:rsidP="002A6755">
            <w:pPr>
              <w:rPr>
                <w:rFonts w:eastAsia="Times New Roman" w:cs="Calibri"/>
                <w:b/>
                <w:bCs/>
                <w:color w:val="FFFFFF"/>
                <w:sz w:val="18"/>
                <w:szCs w:val="18"/>
                <w:lang w:eastAsia="es-CL"/>
              </w:rPr>
            </w:pPr>
            <w:r>
              <w:br w:type="page"/>
            </w:r>
            <w:r w:rsidRPr="009F50DF">
              <w:rPr>
                <w:rFonts w:eastAsia="Times New Roman" w:cs="Calibri"/>
                <w:b/>
                <w:bCs/>
                <w:color w:val="FFFFFF"/>
                <w:sz w:val="18"/>
                <w:szCs w:val="18"/>
                <w:lang w:eastAsia="es-CL"/>
              </w:rPr>
              <w:t>Estado de resultados IFRS </w:t>
            </w:r>
          </w:p>
        </w:tc>
      </w:tr>
      <w:tr w:rsidR="00B2757C" w:rsidRPr="009F50DF" w14:paraId="14B6750A" w14:textId="77777777" w:rsidTr="00712EC5">
        <w:trPr>
          <w:trHeight w:val="327"/>
        </w:trPr>
        <w:tc>
          <w:tcPr>
            <w:tcW w:w="3020" w:type="dxa"/>
            <w:tcBorders>
              <w:top w:val="nil"/>
              <w:left w:val="nil"/>
              <w:bottom w:val="nil"/>
              <w:right w:val="nil"/>
            </w:tcBorders>
            <w:shd w:val="clear" w:color="000000" w:fill="BB1823"/>
            <w:noWrap/>
            <w:vAlign w:val="center"/>
            <w:hideMark/>
          </w:tcPr>
          <w:p w14:paraId="5703D691" w14:textId="77777777" w:rsidR="00B2757C" w:rsidRPr="009F50DF" w:rsidRDefault="00B2757C" w:rsidP="009F50DF">
            <w:pPr>
              <w:jc w:val="center"/>
              <w:rPr>
                <w:rFonts w:eastAsia="Times New Roman" w:cs="Calibri"/>
                <w:b/>
                <w:bCs/>
                <w:color w:val="FFFFFF"/>
                <w:sz w:val="18"/>
                <w:szCs w:val="18"/>
                <w:lang w:eastAsia="es-CL"/>
              </w:rPr>
            </w:pPr>
            <w:r w:rsidRPr="009F50DF">
              <w:rPr>
                <w:rFonts w:eastAsia="Times New Roman" w:cs="Calibri"/>
                <w:b/>
                <w:bCs/>
                <w:color w:val="FFFFFF"/>
                <w:sz w:val="18"/>
                <w:szCs w:val="18"/>
                <w:lang w:eastAsia="es-CL"/>
              </w:rPr>
              <w:t>M$ de cada año</w:t>
            </w:r>
          </w:p>
        </w:tc>
        <w:tc>
          <w:tcPr>
            <w:tcW w:w="1385" w:type="dxa"/>
            <w:tcBorders>
              <w:top w:val="nil"/>
              <w:left w:val="nil"/>
              <w:bottom w:val="nil"/>
              <w:right w:val="nil"/>
            </w:tcBorders>
            <w:shd w:val="clear" w:color="000000" w:fill="BB1823"/>
            <w:noWrap/>
            <w:vAlign w:val="center"/>
            <w:hideMark/>
          </w:tcPr>
          <w:p w14:paraId="494B4AA6" w14:textId="77777777" w:rsidR="00B2757C" w:rsidRPr="009F50DF" w:rsidRDefault="00B2757C" w:rsidP="009F50DF">
            <w:pPr>
              <w:jc w:val="center"/>
              <w:rPr>
                <w:rFonts w:eastAsia="Times New Roman" w:cs="Calibri"/>
                <w:b/>
                <w:bCs/>
                <w:color w:val="FFFFFF"/>
                <w:sz w:val="18"/>
                <w:szCs w:val="18"/>
                <w:lang w:eastAsia="es-CL"/>
              </w:rPr>
            </w:pPr>
            <w:r w:rsidRPr="009F50DF">
              <w:rPr>
                <w:rFonts w:eastAsia="Times New Roman" w:cs="Calibri"/>
                <w:b/>
                <w:bCs/>
                <w:color w:val="FFFFFF"/>
                <w:sz w:val="18"/>
                <w:szCs w:val="18"/>
                <w:lang w:eastAsia="es-CL"/>
              </w:rPr>
              <w:t>2016</w:t>
            </w:r>
          </w:p>
        </w:tc>
        <w:tc>
          <w:tcPr>
            <w:tcW w:w="1388" w:type="dxa"/>
            <w:tcBorders>
              <w:top w:val="nil"/>
              <w:left w:val="nil"/>
              <w:bottom w:val="nil"/>
              <w:right w:val="nil"/>
            </w:tcBorders>
            <w:shd w:val="clear" w:color="000000" w:fill="BB1823"/>
            <w:noWrap/>
            <w:vAlign w:val="center"/>
            <w:hideMark/>
          </w:tcPr>
          <w:p w14:paraId="687B9134" w14:textId="77777777" w:rsidR="00B2757C" w:rsidRPr="009F50DF" w:rsidRDefault="00B2757C" w:rsidP="009F50DF">
            <w:pPr>
              <w:jc w:val="center"/>
              <w:rPr>
                <w:rFonts w:eastAsia="Times New Roman" w:cs="Calibri"/>
                <w:b/>
                <w:bCs/>
                <w:color w:val="FFFFFF"/>
                <w:sz w:val="18"/>
                <w:szCs w:val="18"/>
                <w:lang w:eastAsia="es-CL"/>
              </w:rPr>
            </w:pPr>
            <w:r w:rsidRPr="009F50DF">
              <w:rPr>
                <w:rFonts w:eastAsia="Times New Roman" w:cs="Calibri"/>
                <w:b/>
                <w:bCs/>
                <w:color w:val="FFFFFF"/>
                <w:sz w:val="18"/>
                <w:szCs w:val="18"/>
                <w:lang w:eastAsia="es-CL"/>
              </w:rPr>
              <w:t>2017</w:t>
            </w:r>
          </w:p>
        </w:tc>
        <w:tc>
          <w:tcPr>
            <w:tcW w:w="1388" w:type="dxa"/>
            <w:tcBorders>
              <w:top w:val="nil"/>
              <w:left w:val="nil"/>
              <w:bottom w:val="nil"/>
              <w:right w:val="nil"/>
            </w:tcBorders>
            <w:shd w:val="clear" w:color="000000" w:fill="BB1823"/>
            <w:noWrap/>
            <w:vAlign w:val="center"/>
            <w:hideMark/>
          </w:tcPr>
          <w:p w14:paraId="677E5BFE" w14:textId="77777777" w:rsidR="00B2757C" w:rsidRPr="009F50DF" w:rsidRDefault="00B2757C" w:rsidP="009F50DF">
            <w:pPr>
              <w:jc w:val="center"/>
              <w:rPr>
                <w:rFonts w:eastAsia="Times New Roman" w:cs="Calibri"/>
                <w:b/>
                <w:bCs/>
                <w:color w:val="FFFFFF"/>
                <w:sz w:val="18"/>
                <w:szCs w:val="18"/>
                <w:lang w:eastAsia="es-CL"/>
              </w:rPr>
            </w:pPr>
            <w:r w:rsidRPr="009F50DF">
              <w:rPr>
                <w:rFonts w:eastAsia="Times New Roman" w:cs="Calibri"/>
                <w:b/>
                <w:bCs/>
                <w:color w:val="FFFFFF"/>
                <w:sz w:val="18"/>
                <w:szCs w:val="18"/>
                <w:lang w:eastAsia="es-CL"/>
              </w:rPr>
              <w:t>2018</w:t>
            </w:r>
          </w:p>
        </w:tc>
        <w:tc>
          <w:tcPr>
            <w:tcW w:w="1442" w:type="dxa"/>
            <w:tcBorders>
              <w:top w:val="nil"/>
              <w:left w:val="nil"/>
              <w:bottom w:val="nil"/>
              <w:right w:val="nil"/>
            </w:tcBorders>
            <w:shd w:val="clear" w:color="000000" w:fill="BB1823"/>
            <w:noWrap/>
            <w:vAlign w:val="center"/>
            <w:hideMark/>
          </w:tcPr>
          <w:p w14:paraId="759C12E3" w14:textId="77777777" w:rsidR="00B2757C" w:rsidRPr="009F50DF" w:rsidRDefault="00B2757C" w:rsidP="009F50DF">
            <w:pPr>
              <w:jc w:val="center"/>
              <w:rPr>
                <w:rFonts w:eastAsia="Times New Roman" w:cs="Calibri"/>
                <w:b/>
                <w:bCs/>
                <w:color w:val="FFFFFF"/>
                <w:sz w:val="18"/>
                <w:szCs w:val="18"/>
                <w:lang w:eastAsia="es-CL"/>
              </w:rPr>
            </w:pPr>
            <w:r w:rsidRPr="009F50DF">
              <w:rPr>
                <w:rFonts w:eastAsia="Times New Roman" w:cs="Calibri"/>
                <w:b/>
                <w:bCs/>
                <w:color w:val="FFFFFF"/>
                <w:sz w:val="18"/>
                <w:szCs w:val="18"/>
                <w:lang w:eastAsia="es-CL"/>
              </w:rPr>
              <w:t>2019</w:t>
            </w:r>
          </w:p>
        </w:tc>
        <w:tc>
          <w:tcPr>
            <w:tcW w:w="1406" w:type="dxa"/>
            <w:tcBorders>
              <w:top w:val="nil"/>
              <w:left w:val="nil"/>
              <w:bottom w:val="nil"/>
              <w:right w:val="nil"/>
            </w:tcBorders>
            <w:shd w:val="clear" w:color="000000" w:fill="BB1823"/>
            <w:noWrap/>
            <w:vAlign w:val="center"/>
            <w:hideMark/>
          </w:tcPr>
          <w:p w14:paraId="7F8D72B7" w14:textId="77777777" w:rsidR="00B2757C" w:rsidRPr="009F50DF" w:rsidRDefault="00B2757C" w:rsidP="009F50DF">
            <w:pPr>
              <w:jc w:val="center"/>
              <w:rPr>
                <w:rFonts w:eastAsia="Times New Roman" w:cs="Calibri"/>
                <w:b/>
                <w:bCs/>
                <w:color w:val="FFFFFF"/>
                <w:sz w:val="18"/>
                <w:szCs w:val="18"/>
                <w:lang w:eastAsia="es-CL"/>
              </w:rPr>
            </w:pPr>
            <w:r w:rsidRPr="009F50DF">
              <w:rPr>
                <w:rFonts w:eastAsia="Times New Roman" w:cs="Calibri"/>
                <w:b/>
                <w:bCs/>
                <w:color w:val="FFFFFF"/>
                <w:sz w:val="18"/>
                <w:szCs w:val="18"/>
                <w:lang w:eastAsia="es-CL"/>
              </w:rPr>
              <w:t>2020</w:t>
            </w:r>
          </w:p>
        </w:tc>
        <w:tc>
          <w:tcPr>
            <w:tcW w:w="1167" w:type="dxa"/>
            <w:tcBorders>
              <w:top w:val="nil"/>
              <w:left w:val="nil"/>
              <w:bottom w:val="nil"/>
              <w:right w:val="nil"/>
            </w:tcBorders>
            <w:shd w:val="clear" w:color="000000" w:fill="BB1823"/>
            <w:noWrap/>
            <w:vAlign w:val="center"/>
            <w:hideMark/>
          </w:tcPr>
          <w:p w14:paraId="1A5046BD" w14:textId="7B3B789F" w:rsidR="00B2757C" w:rsidRPr="009F50DF" w:rsidRDefault="00B2757C" w:rsidP="009F50DF">
            <w:pPr>
              <w:jc w:val="center"/>
              <w:rPr>
                <w:rFonts w:eastAsia="Times New Roman" w:cs="Calibri"/>
                <w:b/>
                <w:bCs/>
                <w:color w:val="FFFFFF"/>
                <w:sz w:val="18"/>
                <w:szCs w:val="18"/>
                <w:lang w:eastAsia="es-CL"/>
              </w:rPr>
            </w:pPr>
            <w:r>
              <w:rPr>
                <w:rFonts w:eastAsia="Times New Roman" w:cs="Calibri"/>
                <w:b/>
                <w:bCs/>
                <w:color w:val="FFFFFF"/>
                <w:sz w:val="18"/>
                <w:szCs w:val="18"/>
                <w:lang w:eastAsia="es-CL"/>
              </w:rPr>
              <w:t>sept</w:t>
            </w:r>
            <w:r w:rsidRPr="009F50DF">
              <w:rPr>
                <w:rFonts w:eastAsia="Times New Roman" w:cs="Calibri"/>
                <w:b/>
                <w:bCs/>
                <w:color w:val="FFFFFF"/>
                <w:sz w:val="18"/>
                <w:szCs w:val="18"/>
                <w:lang w:eastAsia="es-CL"/>
              </w:rPr>
              <w:t>-21</w:t>
            </w:r>
          </w:p>
        </w:tc>
      </w:tr>
      <w:tr w:rsidR="00B2757C" w:rsidRPr="009F50DF" w14:paraId="31386779" w14:textId="77777777" w:rsidTr="00712EC5">
        <w:trPr>
          <w:trHeight w:val="327"/>
        </w:trPr>
        <w:tc>
          <w:tcPr>
            <w:tcW w:w="3020" w:type="dxa"/>
            <w:tcBorders>
              <w:top w:val="nil"/>
              <w:left w:val="nil"/>
              <w:bottom w:val="nil"/>
              <w:right w:val="nil"/>
            </w:tcBorders>
            <w:shd w:val="clear" w:color="000000" w:fill="BB1823"/>
            <w:noWrap/>
            <w:vAlign w:val="center"/>
            <w:hideMark/>
          </w:tcPr>
          <w:p w14:paraId="36B4B2D6" w14:textId="04B8ECE3" w:rsidR="00B2757C" w:rsidRPr="009F50DF" w:rsidRDefault="00B2757C" w:rsidP="009F50DF">
            <w:pPr>
              <w:rPr>
                <w:rFonts w:eastAsia="Times New Roman" w:cs="Calibri"/>
                <w:b/>
                <w:bCs/>
                <w:color w:val="FFFFFF"/>
                <w:sz w:val="18"/>
                <w:szCs w:val="18"/>
                <w:lang w:eastAsia="es-CL"/>
              </w:rPr>
            </w:pPr>
            <w:r w:rsidRPr="009F50DF">
              <w:rPr>
                <w:rFonts w:eastAsia="Times New Roman" w:cs="Calibri"/>
                <w:b/>
                <w:bCs/>
                <w:color w:val="FFFFFF"/>
                <w:sz w:val="18"/>
                <w:szCs w:val="18"/>
                <w:lang w:eastAsia="es-CL"/>
              </w:rPr>
              <w:t xml:space="preserve">Ingresos </w:t>
            </w:r>
            <w:r w:rsidR="002A6755">
              <w:rPr>
                <w:rFonts w:eastAsia="Times New Roman" w:cs="Calibri"/>
                <w:b/>
                <w:bCs/>
                <w:color w:val="FFFFFF"/>
                <w:sz w:val="18"/>
                <w:szCs w:val="18"/>
                <w:lang w:eastAsia="es-CL"/>
              </w:rPr>
              <w:t>o</w:t>
            </w:r>
            <w:r w:rsidRPr="009F50DF">
              <w:rPr>
                <w:rFonts w:eastAsia="Times New Roman" w:cs="Calibri"/>
                <w:b/>
                <w:bCs/>
                <w:color w:val="FFFFFF"/>
                <w:sz w:val="18"/>
                <w:szCs w:val="18"/>
                <w:lang w:eastAsia="es-CL"/>
              </w:rPr>
              <w:t>rdinarios</w:t>
            </w:r>
          </w:p>
        </w:tc>
        <w:tc>
          <w:tcPr>
            <w:tcW w:w="1385" w:type="dxa"/>
            <w:tcBorders>
              <w:top w:val="nil"/>
              <w:left w:val="nil"/>
              <w:bottom w:val="nil"/>
              <w:right w:val="nil"/>
            </w:tcBorders>
            <w:shd w:val="clear" w:color="auto" w:fill="auto"/>
            <w:noWrap/>
            <w:vAlign w:val="center"/>
            <w:hideMark/>
          </w:tcPr>
          <w:p w14:paraId="4D3D8A0B" w14:textId="6D158078"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70.498.647</w:t>
            </w:r>
          </w:p>
        </w:tc>
        <w:tc>
          <w:tcPr>
            <w:tcW w:w="1388" w:type="dxa"/>
            <w:tcBorders>
              <w:top w:val="nil"/>
              <w:left w:val="nil"/>
              <w:bottom w:val="nil"/>
              <w:right w:val="nil"/>
            </w:tcBorders>
            <w:shd w:val="clear" w:color="auto" w:fill="auto"/>
            <w:noWrap/>
            <w:vAlign w:val="center"/>
            <w:hideMark/>
          </w:tcPr>
          <w:p w14:paraId="4CE59AB7" w14:textId="1027BFDD"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66.051.893</w:t>
            </w:r>
          </w:p>
        </w:tc>
        <w:tc>
          <w:tcPr>
            <w:tcW w:w="1388" w:type="dxa"/>
            <w:tcBorders>
              <w:top w:val="nil"/>
              <w:left w:val="nil"/>
              <w:bottom w:val="nil"/>
              <w:right w:val="nil"/>
            </w:tcBorders>
            <w:shd w:val="clear" w:color="auto" w:fill="auto"/>
            <w:noWrap/>
            <w:vAlign w:val="center"/>
            <w:hideMark/>
          </w:tcPr>
          <w:p w14:paraId="1F6D4CB4" w14:textId="533D49C8"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75.857.453</w:t>
            </w:r>
          </w:p>
        </w:tc>
        <w:tc>
          <w:tcPr>
            <w:tcW w:w="1442" w:type="dxa"/>
            <w:tcBorders>
              <w:top w:val="nil"/>
              <w:left w:val="nil"/>
              <w:bottom w:val="nil"/>
              <w:right w:val="nil"/>
            </w:tcBorders>
            <w:shd w:val="clear" w:color="auto" w:fill="auto"/>
            <w:noWrap/>
            <w:vAlign w:val="center"/>
            <w:hideMark/>
          </w:tcPr>
          <w:p w14:paraId="3F245049" w14:textId="68A094FE"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87.193.379</w:t>
            </w:r>
          </w:p>
        </w:tc>
        <w:tc>
          <w:tcPr>
            <w:tcW w:w="1406" w:type="dxa"/>
            <w:tcBorders>
              <w:top w:val="nil"/>
              <w:left w:val="nil"/>
              <w:bottom w:val="nil"/>
              <w:right w:val="nil"/>
            </w:tcBorders>
            <w:shd w:val="clear" w:color="auto" w:fill="auto"/>
            <w:noWrap/>
            <w:vAlign w:val="center"/>
            <w:hideMark/>
          </w:tcPr>
          <w:p w14:paraId="6F28D184" w14:textId="2DE03AF6"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89.642.188</w:t>
            </w:r>
          </w:p>
        </w:tc>
        <w:tc>
          <w:tcPr>
            <w:tcW w:w="1167" w:type="dxa"/>
            <w:tcBorders>
              <w:top w:val="nil"/>
              <w:left w:val="nil"/>
              <w:bottom w:val="nil"/>
              <w:right w:val="nil"/>
            </w:tcBorders>
            <w:shd w:val="clear" w:color="auto" w:fill="auto"/>
            <w:noWrap/>
            <w:vAlign w:val="center"/>
          </w:tcPr>
          <w:p w14:paraId="284D1C03" w14:textId="3E950234" w:rsidR="00B2757C" w:rsidRPr="009F50DF" w:rsidRDefault="00642C4F" w:rsidP="002A6755">
            <w:pPr>
              <w:jc w:val="right"/>
              <w:rPr>
                <w:rFonts w:eastAsia="Times New Roman" w:cs="Calibri"/>
                <w:color w:val="333D6B"/>
                <w:sz w:val="18"/>
                <w:szCs w:val="18"/>
                <w:lang w:eastAsia="es-CL"/>
              </w:rPr>
            </w:pPr>
            <w:r w:rsidRPr="00642C4F">
              <w:rPr>
                <w:rFonts w:eastAsia="Times New Roman" w:cs="Calibri"/>
                <w:color w:val="333D6B"/>
                <w:sz w:val="18"/>
                <w:szCs w:val="18"/>
                <w:lang w:eastAsia="es-CL"/>
              </w:rPr>
              <w:t>118.472.606</w:t>
            </w:r>
          </w:p>
        </w:tc>
      </w:tr>
      <w:tr w:rsidR="00B2757C" w:rsidRPr="009F50DF" w14:paraId="7E2B961D" w14:textId="77777777" w:rsidTr="00712EC5">
        <w:trPr>
          <w:trHeight w:val="327"/>
        </w:trPr>
        <w:tc>
          <w:tcPr>
            <w:tcW w:w="3020" w:type="dxa"/>
            <w:tcBorders>
              <w:top w:val="dotted" w:sz="4" w:space="0" w:color="E6344B"/>
              <w:left w:val="nil"/>
              <w:bottom w:val="dotted" w:sz="4" w:space="0" w:color="E6344B"/>
              <w:right w:val="nil"/>
            </w:tcBorders>
            <w:shd w:val="clear" w:color="000000" w:fill="BB1823"/>
            <w:noWrap/>
            <w:vAlign w:val="center"/>
            <w:hideMark/>
          </w:tcPr>
          <w:p w14:paraId="5BE65244" w14:textId="375F51A4" w:rsidR="00B2757C" w:rsidRPr="009F50DF" w:rsidRDefault="00B2757C" w:rsidP="009F50DF">
            <w:pPr>
              <w:rPr>
                <w:rFonts w:eastAsia="Times New Roman" w:cs="Calibri"/>
                <w:b/>
                <w:bCs/>
                <w:color w:val="FFFFFF"/>
                <w:sz w:val="18"/>
                <w:szCs w:val="18"/>
                <w:lang w:eastAsia="es-CL"/>
              </w:rPr>
            </w:pPr>
            <w:r w:rsidRPr="009F50DF">
              <w:rPr>
                <w:rFonts w:eastAsia="Times New Roman" w:cs="Calibri"/>
                <w:b/>
                <w:bCs/>
                <w:color w:val="FFFFFF"/>
                <w:sz w:val="18"/>
                <w:szCs w:val="18"/>
                <w:lang w:eastAsia="es-CL"/>
              </w:rPr>
              <w:t xml:space="preserve">Costo de </w:t>
            </w:r>
            <w:r w:rsidR="002A6755">
              <w:rPr>
                <w:rFonts w:eastAsia="Times New Roman" w:cs="Calibri"/>
                <w:b/>
                <w:bCs/>
                <w:color w:val="FFFFFF"/>
                <w:sz w:val="18"/>
                <w:szCs w:val="18"/>
                <w:lang w:eastAsia="es-CL"/>
              </w:rPr>
              <w:t>v</w:t>
            </w:r>
            <w:r w:rsidRPr="009F50DF">
              <w:rPr>
                <w:rFonts w:eastAsia="Times New Roman" w:cs="Calibri"/>
                <w:b/>
                <w:bCs/>
                <w:color w:val="FFFFFF"/>
                <w:sz w:val="18"/>
                <w:szCs w:val="18"/>
                <w:lang w:eastAsia="es-CL"/>
              </w:rPr>
              <w:t>entas</w:t>
            </w:r>
          </w:p>
        </w:tc>
        <w:tc>
          <w:tcPr>
            <w:tcW w:w="1385" w:type="dxa"/>
            <w:tcBorders>
              <w:top w:val="nil"/>
              <w:left w:val="nil"/>
              <w:bottom w:val="nil"/>
              <w:right w:val="nil"/>
            </w:tcBorders>
            <w:shd w:val="clear" w:color="auto" w:fill="auto"/>
            <w:noWrap/>
            <w:vAlign w:val="center"/>
            <w:hideMark/>
          </w:tcPr>
          <w:p w14:paraId="2DEED538" w14:textId="3F287887"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-43.455.752</w:t>
            </w:r>
          </w:p>
        </w:tc>
        <w:tc>
          <w:tcPr>
            <w:tcW w:w="1388" w:type="dxa"/>
            <w:tcBorders>
              <w:top w:val="nil"/>
              <w:left w:val="nil"/>
              <w:bottom w:val="nil"/>
              <w:right w:val="nil"/>
            </w:tcBorders>
            <w:shd w:val="clear" w:color="auto" w:fill="auto"/>
            <w:noWrap/>
            <w:vAlign w:val="center"/>
            <w:hideMark/>
          </w:tcPr>
          <w:p w14:paraId="3E768901" w14:textId="5CFF5D7D"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-40.179.211</w:t>
            </w:r>
          </w:p>
        </w:tc>
        <w:tc>
          <w:tcPr>
            <w:tcW w:w="1388" w:type="dxa"/>
            <w:tcBorders>
              <w:top w:val="nil"/>
              <w:left w:val="nil"/>
              <w:bottom w:val="nil"/>
              <w:right w:val="nil"/>
            </w:tcBorders>
            <w:shd w:val="clear" w:color="auto" w:fill="auto"/>
            <w:noWrap/>
            <w:vAlign w:val="center"/>
            <w:hideMark/>
          </w:tcPr>
          <w:p w14:paraId="6472C606" w14:textId="18E4403D"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-44.217.044</w:t>
            </w:r>
          </w:p>
        </w:tc>
        <w:tc>
          <w:tcPr>
            <w:tcW w:w="1442" w:type="dxa"/>
            <w:tcBorders>
              <w:top w:val="nil"/>
              <w:left w:val="nil"/>
              <w:bottom w:val="nil"/>
              <w:right w:val="nil"/>
            </w:tcBorders>
            <w:shd w:val="clear" w:color="auto" w:fill="auto"/>
            <w:noWrap/>
            <w:vAlign w:val="center"/>
            <w:hideMark/>
          </w:tcPr>
          <w:p w14:paraId="2223CC24" w14:textId="7FA82C0C"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-51.162.444</w:t>
            </w:r>
          </w:p>
        </w:tc>
        <w:tc>
          <w:tcPr>
            <w:tcW w:w="1406" w:type="dxa"/>
            <w:tcBorders>
              <w:top w:val="nil"/>
              <w:left w:val="nil"/>
              <w:bottom w:val="nil"/>
              <w:right w:val="nil"/>
            </w:tcBorders>
            <w:shd w:val="clear" w:color="auto" w:fill="auto"/>
            <w:noWrap/>
            <w:vAlign w:val="center"/>
            <w:hideMark/>
          </w:tcPr>
          <w:p w14:paraId="525B5380" w14:textId="56688F7B"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-53.432.337</w:t>
            </w:r>
          </w:p>
        </w:tc>
        <w:tc>
          <w:tcPr>
            <w:tcW w:w="1167" w:type="dxa"/>
            <w:tcBorders>
              <w:top w:val="nil"/>
              <w:left w:val="nil"/>
              <w:bottom w:val="nil"/>
              <w:right w:val="nil"/>
            </w:tcBorders>
            <w:shd w:val="clear" w:color="auto" w:fill="auto"/>
            <w:noWrap/>
            <w:vAlign w:val="center"/>
          </w:tcPr>
          <w:p w14:paraId="38C87B36" w14:textId="155E1354" w:rsidR="00B2757C" w:rsidRPr="009F50DF" w:rsidRDefault="00056A06" w:rsidP="002A6755">
            <w:pPr>
              <w:jc w:val="right"/>
              <w:rPr>
                <w:rFonts w:eastAsia="Times New Roman" w:cs="Calibri"/>
                <w:color w:val="333D6B"/>
                <w:sz w:val="18"/>
                <w:szCs w:val="18"/>
                <w:lang w:eastAsia="es-CL"/>
              </w:rPr>
            </w:pPr>
            <w:r>
              <w:rPr>
                <w:rFonts w:eastAsia="Times New Roman" w:cs="Calibri"/>
                <w:color w:val="333D6B"/>
                <w:sz w:val="18"/>
                <w:szCs w:val="18"/>
                <w:lang w:eastAsia="es-CL"/>
              </w:rPr>
              <w:t>-</w:t>
            </w:r>
            <w:r w:rsidRPr="00056A06">
              <w:rPr>
                <w:rFonts w:eastAsia="Times New Roman" w:cs="Calibri"/>
                <w:color w:val="333D6B"/>
                <w:sz w:val="18"/>
                <w:szCs w:val="18"/>
                <w:lang w:eastAsia="es-CL"/>
              </w:rPr>
              <w:t>68.352.329</w:t>
            </w:r>
          </w:p>
        </w:tc>
      </w:tr>
      <w:tr w:rsidR="00B2757C" w:rsidRPr="009F50DF" w14:paraId="14425617" w14:textId="77777777" w:rsidTr="00712EC5">
        <w:trPr>
          <w:trHeight w:val="327"/>
        </w:trPr>
        <w:tc>
          <w:tcPr>
            <w:tcW w:w="3020" w:type="dxa"/>
            <w:tcBorders>
              <w:top w:val="nil"/>
              <w:left w:val="nil"/>
              <w:bottom w:val="nil"/>
              <w:right w:val="nil"/>
            </w:tcBorders>
            <w:shd w:val="clear" w:color="000000" w:fill="BB1823"/>
            <w:noWrap/>
            <w:vAlign w:val="center"/>
            <w:hideMark/>
          </w:tcPr>
          <w:p w14:paraId="692ACC05" w14:textId="4C285C52" w:rsidR="00B2757C" w:rsidRPr="009F50DF" w:rsidRDefault="00B2757C" w:rsidP="009F50DF">
            <w:pPr>
              <w:rPr>
                <w:rFonts w:eastAsia="Times New Roman" w:cs="Calibri"/>
                <w:b/>
                <w:bCs/>
                <w:color w:val="FFFFFF"/>
                <w:sz w:val="18"/>
                <w:szCs w:val="18"/>
                <w:lang w:eastAsia="es-CL"/>
              </w:rPr>
            </w:pPr>
            <w:r w:rsidRPr="009F50DF">
              <w:rPr>
                <w:rFonts w:eastAsia="Times New Roman" w:cs="Calibri"/>
                <w:b/>
                <w:bCs/>
                <w:color w:val="FFFFFF"/>
                <w:sz w:val="18"/>
                <w:szCs w:val="18"/>
                <w:lang w:eastAsia="es-CL"/>
              </w:rPr>
              <w:t xml:space="preserve">Ganancia </w:t>
            </w:r>
            <w:r w:rsidR="002A6755">
              <w:rPr>
                <w:rFonts w:eastAsia="Times New Roman" w:cs="Calibri"/>
                <w:b/>
                <w:bCs/>
                <w:color w:val="FFFFFF"/>
                <w:sz w:val="18"/>
                <w:szCs w:val="18"/>
                <w:lang w:eastAsia="es-CL"/>
              </w:rPr>
              <w:t>b</w:t>
            </w:r>
            <w:r w:rsidRPr="009F50DF">
              <w:rPr>
                <w:rFonts w:eastAsia="Times New Roman" w:cs="Calibri"/>
                <w:b/>
                <w:bCs/>
                <w:color w:val="FFFFFF"/>
                <w:sz w:val="18"/>
                <w:szCs w:val="18"/>
                <w:lang w:eastAsia="es-CL"/>
              </w:rPr>
              <w:t>ruta</w:t>
            </w:r>
          </w:p>
        </w:tc>
        <w:tc>
          <w:tcPr>
            <w:tcW w:w="1385" w:type="dxa"/>
            <w:tcBorders>
              <w:top w:val="nil"/>
              <w:left w:val="nil"/>
              <w:bottom w:val="nil"/>
              <w:right w:val="nil"/>
            </w:tcBorders>
            <w:shd w:val="clear" w:color="auto" w:fill="auto"/>
            <w:noWrap/>
            <w:vAlign w:val="center"/>
            <w:hideMark/>
          </w:tcPr>
          <w:p w14:paraId="29E1D4D4" w14:textId="4CB5610A"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27.042.895</w:t>
            </w:r>
          </w:p>
        </w:tc>
        <w:tc>
          <w:tcPr>
            <w:tcW w:w="1388" w:type="dxa"/>
            <w:tcBorders>
              <w:top w:val="nil"/>
              <w:left w:val="nil"/>
              <w:bottom w:val="nil"/>
              <w:right w:val="nil"/>
            </w:tcBorders>
            <w:shd w:val="clear" w:color="auto" w:fill="auto"/>
            <w:noWrap/>
            <w:vAlign w:val="center"/>
            <w:hideMark/>
          </w:tcPr>
          <w:p w14:paraId="57AE89E7" w14:textId="156B90C8"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25.872.682</w:t>
            </w:r>
          </w:p>
        </w:tc>
        <w:tc>
          <w:tcPr>
            <w:tcW w:w="1388" w:type="dxa"/>
            <w:tcBorders>
              <w:top w:val="nil"/>
              <w:left w:val="nil"/>
              <w:bottom w:val="nil"/>
              <w:right w:val="nil"/>
            </w:tcBorders>
            <w:shd w:val="clear" w:color="auto" w:fill="auto"/>
            <w:noWrap/>
            <w:vAlign w:val="center"/>
            <w:hideMark/>
          </w:tcPr>
          <w:p w14:paraId="5DED484B" w14:textId="7DE94776"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31.640.409</w:t>
            </w:r>
          </w:p>
        </w:tc>
        <w:tc>
          <w:tcPr>
            <w:tcW w:w="1442" w:type="dxa"/>
            <w:tcBorders>
              <w:top w:val="nil"/>
              <w:left w:val="nil"/>
              <w:bottom w:val="nil"/>
              <w:right w:val="nil"/>
            </w:tcBorders>
            <w:shd w:val="clear" w:color="auto" w:fill="auto"/>
            <w:noWrap/>
            <w:vAlign w:val="center"/>
            <w:hideMark/>
          </w:tcPr>
          <w:p w14:paraId="72FB5C3B" w14:textId="13948157"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36.030.935</w:t>
            </w:r>
          </w:p>
        </w:tc>
        <w:tc>
          <w:tcPr>
            <w:tcW w:w="1406" w:type="dxa"/>
            <w:tcBorders>
              <w:top w:val="nil"/>
              <w:left w:val="nil"/>
              <w:bottom w:val="nil"/>
              <w:right w:val="nil"/>
            </w:tcBorders>
            <w:shd w:val="clear" w:color="auto" w:fill="auto"/>
            <w:noWrap/>
            <w:vAlign w:val="center"/>
            <w:hideMark/>
          </w:tcPr>
          <w:p w14:paraId="300E2E5C" w14:textId="05FAB891"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36.209.851</w:t>
            </w:r>
          </w:p>
        </w:tc>
        <w:tc>
          <w:tcPr>
            <w:tcW w:w="1167" w:type="dxa"/>
            <w:tcBorders>
              <w:top w:val="nil"/>
              <w:left w:val="nil"/>
              <w:bottom w:val="nil"/>
              <w:right w:val="nil"/>
            </w:tcBorders>
            <w:shd w:val="clear" w:color="auto" w:fill="auto"/>
            <w:noWrap/>
            <w:vAlign w:val="center"/>
          </w:tcPr>
          <w:p w14:paraId="687965C6" w14:textId="54A7AC56" w:rsidR="00B2757C" w:rsidRPr="009F50DF" w:rsidRDefault="00056A06" w:rsidP="002A6755">
            <w:pPr>
              <w:jc w:val="right"/>
              <w:rPr>
                <w:rFonts w:eastAsia="Times New Roman" w:cs="Calibri"/>
                <w:color w:val="333D6B"/>
                <w:sz w:val="18"/>
                <w:szCs w:val="18"/>
                <w:lang w:eastAsia="es-CL"/>
              </w:rPr>
            </w:pPr>
            <w:r w:rsidRPr="00056A06">
              <w:rPr>
                <w:rFonts w:eastAsia="Times New Roman" w:cs="Calibri"/>
                <w:color w:val="333D6B"/>
                <w:sz w:val="18"/>
                <w:szCs w:val="18"/>
                <w:lang w:eastAsia="es-CL"/>
              </w:rPr>
              <w:t>50.120.276</w:t>
            </w:r>
          </w:p>
        </w:tc>
      </w:tr>
      <w:tr w:rsidR="00B2757C" w:rsidRPr="009F50DF" w14:paraId="3B12E9AA" w14:textId="77777777" w:rsidTr="00712EC5">
        <w:trPr>
          <w:trHeight w:val="327"/>
        </w:trPr>
        <w:tc>
          <w:tcPr>
            <w:tcW w:w="3020" w:type="dxa"/>
            <w:tcBorders>
              <w:top w:val="dotted" w:sz="4" w:space="0" w:color="E6344B"/>
              <w:left w:val="nil"/>
              <w:bottom w:val="dotted" w:sz="4" w:space="0" w:color="E6344B"/>
              <w:right w:val="nil"/>
            </w:tcBorders>
            <w:shd w:val="clear" w:color="000000" w:fill="BB1823"/>
            <w:noWrap/>
            <w:vAlign w:val="center"/>
            <w:hideMark/>
          </w:tcPr>
          <w:p w14:paraId="4FED7F2E" w14:textId="6A9EDEF3" w:rsidR="00B2757C" w:rsidRPr="009F50DF" w:rsidRDefault="00B2757C" w:rsidP="009F50DF">
            <w:pPr>
              <w:rPr>
                <w:rFonts w:eastAsia="Times New Roman" w:cs="Calibri"/>
                <w:b/>
                <w:bCs/>
                <w:color w:val="FFFFFF"/>
                <w:sz w:val="18"/>
                <w:szCs w:val="18"/>
                <w:lang w:eastAsia="es-CL"/>
              </w:rPr>
            </w:pPr>
            <w:r w:rsidRPr="009F50DF">
              <w:rPr>
                <w:rFonts w:eastAsia="Times New Roman" w:cs="Calibri"/>
                <w:b/>
                <w:bCs/>
                <w:color w:val="FFFFFF"/>
                <w:sz w:val="18"/>
                <w:szCs w:val="18"/>
                <w:lang w:eastAsia="es-CL"/>
              </w:rPr>
              <w:t xml:space="preserve">Gastos de </w:t>
            </w:r>
            <w:proofErr w:type="spellStart"/>
            <w:r w:rsidR="002A6755">
              <w:rPr>
                <w:rFonts w:eastAsia="Times New Roman" w:cs="Calibri"/>
                <w:b/>
                <w:bCs/>
                <w:color w:val="FFFFFF"/>
                <w:sz w:val="18"/>
                <w:szCs w:val="18"/>
                <w:lang w:eastAsia="es-CL"/>
              </w:rPr>
              <w:t>a</w:t>
            </w:r>
            <w:r w:rsidRPr="009F50DF">
              <w:rPr>
                <w:rFonts w:eastAsia="Times New Roman" w:cs="Calibri"/>
                <w:b/>
                <w:bCs/>
                <w:color w:val="FFFFFF"/>
                <w:sz w:val="18"/>
                <w:szCs w:val="18"/>
                <w:lang w:eastAsia="es-CL"/>
              </w:rPr>
              <w:t>dm</w:t>
            </w:r>
            <w:proofErr w:type="spellEnd"/>
            <w:r w:rsidRPr="009F50DF">
              <w:rPr>
                <w:rFonts w:eastAsia="Times New Roman" w:cs="Calibri"/>
                <w:b/>
                <w:bCs/>
                <w:color w:val="FFFFFF"/>
                <w:sz w:val="18"/>
                <w:szCs w:val="18"/>
                <w:lang w:eastAsia="es-CL"/>
              </w:rPr>
              <w:t>.</w:t>
            </w:r>
          </w:p>
        </w:tc>
        <w:tc>
          <w:tcPr>
            <w:tcW w:w="1385" w:type="dxa"/>
            <w:tcBorders>
              <w:top w:val="nil"/>
              <w:left w:val="nil"/>
              <w:bottom w:val="nil"/>
              <w:right w:val="nil"/>
            </w:tcBorders>
            <w:shd w:val="clear" w:color="auto" w:fill="auto"/>
            <w:noWrap/>
            <w:vAlign w:val="center"/>
            <w:hideMark/>
          </w:tcPr>
          <w:p w14:paraId="6534E4D8" w14:textId="4F8237AF"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-18.776.250</w:t>
            </w:r>
          </w:p>
        </w:tc>
        <w:tc>
          <w:tcPr>
            <w:tcW w:w="1388" w:type="dxa"/>
            <w:tcBorders>
              <w:top w:val="nil"/>
              <w:left w:val="nil"/>
              <w:bottom w:val="nil"/>
              <w:right w:val="nil"/>
            </w:tcBorders>
            <w:shd w:val="clear" w:color="auto" w:fill="auto"/>
            <w:noWrap/>
            <w:vAlign w:val="center"/>
            <w:hideMark/>
          </w:tcPr>
          <w:p w14:paraId="393C2A34" w14:textId="5CB9B889"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-22.781.149</w:t>
            </w:r>
          </w:p>
        </w:tc>
        <w:tc>
          <w:tcPr>
            <w:tcW w:w="1388" w:type="dxa"/>
            <w:tcBorders>
              <w:top w:val="nil"/>
              <w:left w:val="nil"/>
              <w:bottom w:val="nil"/>
              <w:right w:val="nil"/>
            </w:tcBorders>
            <w:shd w:val="clear" w:color="auto" w:fill="auto"/>
            <w:noWrap/>
            <w:vAlign w:val="center"/>
            <w:hideMark/>
          </w:tcPr>
          <w:p w14:paraId="542BF0C5" w14:textId="1CD28D2A"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-25.428.121</w:t>
            </w:r>
          </w:p>
        </w:tc>
        <w:tc>
          <w:tcPr>
            <w:tcW w:w="1442" w:type="dxa"/>
            <w:tcBorders>
              <w:top w:val="nil"/>
              <w:left w:val="nil"/>
              <w:bottom w:val="nil"/>
              <w:right w:val="nil"/>
            </w:tcBorders>
            <w:shd w:val="clear" w:color="auto" w:fill="auto"/>
            <w:noWrap/>
            <w:vAlign w:val="center"/>
            <w:hideMark/>
          </w:tcPr>
          <w:p w14:paraId="34C09447" w14:textId="0DE72287"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-30.287.721</w:t>
            </w:r>
          </w:p>
        </w:tc>
        <w:tc>
          <w:tcPr>
            <w:tcW w:w="1406" w:type="dxa"/>
            <w:tcBorders>
              <w:top w:val="nil"/>
              <w:left w:val="nil"/>
              <w:bottom w:val="nil"/>
              <w:right w:val="nil"/>
            </w:tcBorders>
            <w:shd w:val="clear" w:color="auto" w:fill="auto"/>
            <w:noWrap/>
            <w:vAlign w:val="center"/>
            <w:hideMark/>
          </w:tcPr>
          <w:p w14:paraId="5B05320C" w14:textId="44A317A3"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-28.990.506</w:t>
            </w:r>
          </w:p>
        </w:tc>
        <w:tc>
          <w:tcPr>
            <w:tcW w:w="1167" w:type="dxa"/>
            <w:tcBorders>
              <w:top w:val="nil"/>
              <w:left w:val="nil"/>
              <w:bottom w:val="nil"/>
              <w:right w:val="nil"/>
            </w:tcBorders>
            <w:shd w:val="clear" w:color="auto" w:fill="auto"/>
            <w:noWrap/>
            <w:vAlign w:val="center"/>
          </w:tcPr>
          <w:p w14:paraId="3711A5D0" w14:textId="099BF27B" w:rsidR="00B2757C" w:rsidRPr="009F50DF" w:rsidRDefault="00987D2B" w:rsidP="002A6755">
            <w:pPr>
              <w:jc w:val="right"/>
              <w:rPr>
                <w:rFonts w:eastAsia="Times New Roman" w:cs="Calibri"/>
                <w:color w:val="333D6B"/>
                <w:sz w:val="18"/>
                <w:szCs w:val="18"/>
                <w:lang w:eastAsia="es-CL"/>
              </w:rPr>
            </w:pPr>
            <w:r>
              <w:rPr>
                <w:rFonts w:eastAsia="Times New Roman" w:cs="Calibri"/>
                <w:color w:val="333D6B"/>
                <w:sz w:val="18"/>
                <w:szCs w:val="18"/>
                <w:lang w:eastAsia="es-CL"/>
              </w:rPr>
              <w:t>-</w:t>
            </w:r>
            <w:r w:rsidRPr="00987D2B">
              <w:rPr>
                <w:rFonts w:eastAsia="Times New Roman" w:cs="Calibri"/>
                <w:color w:val="333D6B"/>
                <w:sz w:val="18"/>
                <w:szCs w:val="18"/>
                <w:lang w:eastAsia="es-CL"/>
              </w:rPr>
              <w:t>30.836.078</w:t>
            </w:r>
          </w:p>
        </w:tc>
      </w:tr>
      <w:tr w:rsidR="00B2757C" w:rsidRPr="009F50DF" w14:paraId="4B650426" w14:textId="77777777" w:rsidTr="00712EC5">
        <w:trPr>
          <w:trHeight w:val="327"/>
        </w:trPr>
        <w:tc>
          <w:tcPr>
            <w:tcW w:w="3020" w:type="dxa"/>
            <w:tcBorders>
              <w:top w:val="nil"/>
              <w:left w:val="nil"/>
              <w:bottom w:val="nil"/>
              <w:right w:val="nil"/>
            </w:tcBorders>
            <w:shd w:val="clear" w:color="000000" w:fill="BB1823"/>
            <w:noWrap/>
            <w:vAlign w:val="center"/>
            <w:hideMark/>
          </w:tcPr>
          <w:p w14:paraId="5F9AF513" w14:textId="7379DB7A" w:rsidR="00B2757C" w:rsidRPr="009F50DF" w:rsidRDefault="00B2757C" w:rsidP="009F50DF">
            <w:pPr>
              <w:rPr>
                <w:rFonts w:eastAsia="Times New Roman" w:cs="Calibri"/>
                <w:b/>
                <w:bCs/>
                <w:color w:val="FFFFFF"/>
                <w:sz w:val="18"/>
                <w:szCs w:val="18"/>
                <w:lang w:eastAsia="es-CL"/>
              </w:rPr>
            </w:pPr>
            <w:r w:rsidRPr="009F50DF">
              <w:rPr>
                <w:rFonts w:eastAsia="Times New Roman" w:cs="Calibri"/>
                <w:b/>
                <w:bCs/>
                <w:color w:val="FFFFFF"/>
                <w:sz w:val="18"/>
                <w:szCs w:val="18"/>
                <w:lang w:eastAsia="es-CL"/>
              </w:rPr>
              <w:t xml:space="preserve">Resultado </w:t>
            </w:r>
            <w:r w:rsidR="002A6755">
              <w:rPr>
                <w:rFonts w:eastAsia="Times New Roman" w:cs="Calibri"/>
                <w:b/>
                <w:bCs/>
                <w:color w:val="FFFFFF"/>
                <w:sz w:val="18"/>
                <w:szCs w:val="18"/>
                <w:lang w:eastAsia="es-CL"/>
              </w:rPr>
              <w:t>o</w:t>
            </w:r>
            <w:r w:rsidRPr="009F50DF">
              <w:rPr>
                <w:rFonts w:eastAsia="Times New Roman" w:cs="Calibri"/>
                <w:b/>
                <w:bCs/>
                <w:color w:val="FFFFFF"/>
                <w:sz w:val="18"/>
                <w:szCs w:val="18"/>
                <w:lang w:eastAsia="es-CL"/>
              </w:rPr>
              <w:t>peracional</w:t>
            </w:r>
          </w:p>
        </w:tc>
        <w:tc>
          <w:tcPr>
            <w:tcW w:w="1385" w:type="dxa"/>
            <w:tcBorders>
              <w:top w:val="nil"/>
              <w:left w:val="nil"/>
              <w:bottom w:val="nil"/>
              <w:right w:val="nil"/>
            </w:tcBorders>
            <w:shd w:val="clear" w:color="auto" w:fill="auto"/>
            <w:noWrap/>
            <w:vAlign w:val="center"/>
            <w:hideMark/>
          </w:tcPr>
          <w:p w14:paraId="56B8BD55" w14:textId="1E0F1C6C"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8.266.645</w:t>
            </w:r>
          </w:p>
        </w:tc>
        <w:tc>
          <w:tcPr>
            <w:tcW w:w="1388" w:type="dxa"/>
            <w:tcBorders>
              <w:top w:val="nil"/>
              <w:left w:val="nil"/>
              <w:bottom w:val="nil"/>
              <w:right w:val="nil"/>
            </w:tcBorders>
            <w:shd w:val="clear" w:color="auto" w:fill="auto"/>
            <w:noWrap/>
            <w:vAlign w:val="center"/>
            <w:hideMark/>
          </w:tcPr>
          <w:p w14:paraId="08444125" w14:textId="63289462"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3.091.533</w:t>
            </w:r>
          </w:p>
        </w:tc>
        <w:tc>
          <w:tcPr>
            <w:tcW w:w="1388" w:type="dxa"/>
            <w:tcBorders>
              <w:top w:val="nil"/>
              <w:left w:val="nil"/>
              <w:bottom w:val="nil"/>
              <w:right w:val="nil"/>
            </w:tcBorders>
            <w:shd w:val="clear" w:color="auto" w:fill="auto"/>
            <w:noWrap/>
            <w:vAlign w:val="center"/>
            <w:hideMark/>
          </w:tcPr>
          <w:p w14:paraId="3D83E50F" w14:textId="4943BAD0"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6.212.288</w:t>
            </w:r>
          </w:p>
        </w:tc>
        <w:tc>
          <w:tcPr>
            <w:tcW w:w="1442" w:type="dxa"/>
            <w:tcBorders>
              <w:top w:val="nil"/>
              <w:left w:val="nil"/>
              <w:bottom w:val="nil"/>
              <w:right w:val="nil"/>
            </w:tcBorders>
            <w:shd w:val="clear" w:color="auto" w:fill="auto"/>
            <w:noWrap/>
            <w:vAlign w:val="center"/>
            <w:hideMark/>
          </w:tcPr>
          <w:p w14:paraId="07F74845" w14:textId="5125E745"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5.743.214</w:t>
            </w:r>
          </w:p>
        </w:tc>
        <w:tc>
          <w:tcPr>
            <w:tcW w:w="1406" w:type="dxa"/>
            <w:tcBorders>
              <w:top w:val="nil"/>
              <w:left w:val="nil"/>
              <w:bottom w:val="nil"/>
              <w:right w:val="nil"/>
            </w:tcBorders>
            <w:shd w:val="clear" w:color="auto" w:fill="auto"/>
            <w:noWrap/>
            <w:vAlign w:val="center"/>
            <w:hideMark/>
          </w:tcPr>
          <w:p w14:paraId="349C2E0C" w14:textId="6D461941"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7.219.345</w:t>
            </w:r>
          </w:p>
        </w:tc>
        <w:tc>
          <w:tcPr>
            <w:tcW w:w="1167" w:type="dxa"/>
            <w:tcBorders>
              <w:top w:val="nil"/>
              <w:left w:val="nil"/>
              <w:bottom w:val="nil"/>
              <w:right w:val="nil"/>
            </w:tcBorders>
            <w:shd w:val="clear" w:color="auto" w:fill="auto"/>
            <w:noWrap/>
            <w:vAlign w:val="center"/>
          </w:tcPr>
          <w:p w14:paraId="09FD0993" w14:textId="5944C96B" w:rsidR="00B2757C" w:rsidRPr="009F50DF" w:rsidRDefault="002C5B6B" w:rsidP="002A6755">
            <w:pPr>
              <w:jc w:val="right"/>
              <w:rPr>
                <w:rFonts w:eastAsia="Times New Roman" w:cs="Calibri"/>
                <w:b/>
                <w:bCs/>
                <w:color w:val="333D6B"/>
                <w:sz w:val="18"/>
                <w:szCs w:val="18"/>
                <w:lang w:eastAsia="es-CL"/>
              </w:rPr>
            </w:pPr>
            <w:r>
              <w:rPr>
                <w:rFonts w:eastAsia="Times New Roman" w:cs="Calibri"/>
                <w:b/>
                <w:bCs/>
                <w:color w:val="333D6B"/>
                <w:sz w:val="18"/>
                <w:szCs w:val="18"/>
                <w:lang w:eastAsia="es-CL"/>
              </w:rPr>
              <w:t>1</w:t>
            </w:r>
            <w:r w:rsidR="00941A98">
              <w:rPr>
                <w:rFonts w:eastAsia="Times New Roman" w:cs="Calibri"/>
                <w:b/>
                <w:bCs/>
                <w:color w:val="333D6B"/>
                <w:sz w:val="18"/>
                <w:szCs w:val="18"/>
                <w:lang w:eastAsia="es-CL"/>
              </w:rPr>
              <w:t>9.284.198</w:t>
            </w:r>
          </w:p>
        </w:tc>
      </w:tr>
      <w:tr w:rsidR="00B2757C" w:rsidRPr="009F50DF" w14:paraId="314827EE" w14:textId="77777777" w:rsidTr="00712EC5">
        <w:trPr>
          <w:trHeight w:val="327"/>
        </w:trPr>
        <w:tc>
          <w:tcPr>
            <w:tcW w:w="3020" w:type="dxa"/>
            <w:tcBorders>
              <w:top w:val="dotted" w:sz="4" w:space="0" w:color="E6344B"/>
              <w:left w:val="nil"/>
              <w:bottom w:val="dotted" w:sz="4" w:space="0" w:color="E6344B"/>
              <w:right w:val="nil"/>
            </w:tcBorders>
            <w:shd w:val="clear" w:color="000000" w:fill="BB1823"/>
            <w:noWrap/>
            <w:vAlign w:val="center"/>
            <w:hideMark/>
          </w:tcPr>
          <w:p w14:paraId="7D5D0509" w14:textId="5EB77AD0" w:rsidR="00B2757C" w:rsidRPr="009F50DF" w:rsidRDefault="00B2757C" w:rsidP="009F50DF">
            <w:pPr>
              <w:rPr>
                <w:rFonts w:eastAsia="Times New Roman" w:cs="Calibri"/>
                <w:b/>
                <w:bCs/>
                <w:color w:val="FFFFFF"/>
                <w:sz w:val="18"/>
                <w:szCs w:val="18"/>
                <w:lang w:eastAsia="es-CL"/>
              </w:rPr>
            </w:pPr>
            <w:r w:rsidRPr="009F50DF">
              <w:rPr>
                <w:rFonts w:eastAsia="Times New Roman" w:cs="Calibri"/>
                <w:b/>
                <w:bCs/>
                <w:color w:val="FFFFFF"/>
                <w:sz w:val="18"/>
                <w:szCs w:val="18"/>
                <w:lang w:eastAsia="es-CL"/>
              </w:rPr>
              <w:t xml:space="preserve">Ingresos y </w:t>
            </w:r>
            <w:r w:rsidR="002A6755">
              <w:rPr>
                <w:rFonts w:eastAsia="Times New Roman" w:cs="Calibri"/>
                <w:b/>
                <w:bCs/>
                <w:color w:val="FFFFFF"/>
                <w:sz w:val="18"/>
                <w:szCs w:val="18"/>
                <w:lang w:eastAsia="es-CL"/>
              </w:rPr>
              <w:t>c</w:t>
            </w:r>
            <w:r w:rsidRPr="009F50DF">
              <w:rPr>
                <w:rFonts w:eastAsia="Times New Roman" w:cs="Calibri"/>
                <w:b/>
                <w:bCs/>
                <w:color w:val="FFFFFF"/>
                <w:sz w:val="18"/>
                <w:szCs w:val="18"/>
                <w:lang w:eastAsia="es-CL"/>
              </w:rPr>
              <w:t xml:space="preserve">ostos </w:t>
            </w:r>
            <w:r w:rsidR="002A6755">
              <w:rPr>
                <w:rFonts w:eastAsia="Times New Roman" w:cs="Calibri"/>
                <w:b/>
                <w:bCs/>
                <w:color w:val="FFFFFF"/>
                <w:sz w:val="18"/>
                <w:szCs w:val="18"/>
                <w:lang w:eastAsia="es-CL"/>
              </w:rPr>
              <w:t>f</w:t>
            </w:r>
            <w:r w:rsidRPr="009F50DF">
              <w:rPr>
                <w:rFonts w:eastAsia="Times New Roman" w:cs="Calibri"/>
                <w:b/>
                <w:bCs/>
                <w:color w:val="FFFFFF"/>
                <w:sz w:val="18"/>
                <w:szCs w:val="18"/>
                <w:lang w:eastAsia="es-CL"/>
              </w:rPr>
              <w:t>inancieros</w:t>
            </w:r>
          </w:p>
        </w:tc>
        <w:tc>
          <w:tcPr>
            <w:tcW w:w="1385" w:type="dxa"/>
            <w:tcBorders>
              <w:top w:val="nil"/>
              <w:left w:val="nil"/>
              <w:bottom w:val="nil"/>
              <w:right w:val="nil"/>
            </w:tcBorders>
            <w:shd w:val="clear" w:color="auto" w:fill="auto"/>
            <w:noWrap/>
            <w:vAlign w:val="center"/>
            <w:hideMark/>
          </w:tcPr>
          <w:p w14:paraId="7497254D" w14:textId="21100283"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-493.046</w:t>
            </w:r>
          </w:p>
        </w:tc>
        <w:tc>
          <w:tcPr>
            <w:tcW w:w="1388" w:type="dxa"/>
            <w:tcBorders>
              <w:top w:val="nil"/>
              <w:left w:val="nil"/>
              <w:bottom w:val="nil"/>
              <w:right w:val="nil"/>
            </w:tcBorders>
            <w:shd w:val="clear" w:color="auto" w:fill="auto"/>
            <w:noWrap/>
            <w:vAlign w:val="center"/>
            <w:hideMark/>
          </w:tcPr>
          <w:p w14:paraId="657EDEB3" w14:textId="0A774E52"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-761.862</w:t>
            </w:r>
          </w:p>
        </w:tc>
        <w:tc>
          <w:tcPr>
            <w:tcW w:w="1388" w:type="dxa"/>
            <w:tcBorders>
              <w:top w:val="nil"/>
              <w:left w:val="nil"/>
              <w:bottom w:val="nil"/>
              <w:right w:val="nil"/>
            </w:tcBorders>
            <w:shd w:val="clear" w:color="auto" w:fill="auto"/>
            <w:noWrap/>
            <w:vAlign w:val="center"/>
            <w:hideMark/>
          </w:tcPr>
          <w:p w14:paraId="4F32703D" w14:textId="28C154F1"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-783.710</w:t>
            </w:r>
          </w:p>
        </w:tc>
        <w:tc>
          <w:tcPr>
            <w:tcW w:w="1442" w:type="dxa"/>
            <w:tcBorders>
              <w:top w:val="nil"/>
              <w:left w:val="nil"/>
              <w:bottom w:val="nil"/>
              <w:right w:val="nil"/>
            </w:tcBorders>
            <w:shd w:val="clear" w:color="auto" w:fill="auto"/>
            <w:noWrap/>
            <w:vAlign w:val="center"/>
            <w:hideMark/>
          </w:tcPr>
          <w:p w14:paraId="5D08ADA0" w14:textId="27757BF8"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-1.102.448</w:t>
            </w:r>
          </w:p>
        </w:tc>
        <w:tc>
          <w:tcPr>
            <w:tcW w:w="1406" w:type="dxa"/>
            <w:tcBorders>
              <w:top w:val="nil"/>
              <w:left w:val="nil"/>
              <w:bottom w:val="nil"/>
              <w:right w:val="nil"/>
            </w:tcBorders>
            <w:shd w:val="clear" w:color="auto" w:fill="auto"/>
            <w:noWrap/>
            <w:vAlign w:val="center"/>
            <w:hideMark/>
          </w:tcPr>
          <w:p w14:paraId="30F9A852" w14:textId="5FD8462C"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-1.461.012</w:t>
            </w:r>
          </w:p>
        </w:tc>
        <w:tc>
          <w:tcPr>
            <w:tcW w:w="1167" w:type="dxa"/>
            <w:tcBorders>
              <w:top w:val="nil"/>
              <w:left w:val="nil"/>
              <w:bottom w:val="nil"/>
              <w:right w:val="nil"/>
            </w:tcBorders>
            <w:shd w:val="clear" w:color="auto" w:fill="auto"/>
            <w:noWrap/>
            <w:vAlign w:val="center"/>
          </w:tcPr>
          <w:p w14:paraId="48CB1096" w14:textId="6874B7F3" w:rsidR="00B2757C" w:rsidRPr="009F50DF" w:rsidRDefault="00941A98" w:rsidP="002A6755">
            <w:pPr>
              <w:jc w:val="right"/>
              <w:rPr>
                <w:rFonts w:eastAsia="Times New Roman" w:cs="Calibri"/>
                <w:color w:val="333D6B"/>
                <w:sz w:val="18"/>
                <w:szCs w:val="18"/>
                <w:lang w:eastAsia="es-CL"/>
              </w:rPr>
            </w:pPr>
            <w:r>
              <w:rPr>
                <w:rFonts w:eastAsia="Times New Roman" w:cs="Calibri"/>
                <w:color w:val="333D6B"/>
                <w:sz w:val="18"/>
                <w:szCs w:val="18"/>
                <w:lang w:eastAsia="es-CL"/>
              </w:rPr>
              <w:t>-</w:t>
            </w:r>
            <w:r w:rsidRPr="00941A98">
              <w:rPr>
                <w:rFonts w:eastAsia="Times New Roman" w:cs="Calibri"/>
                <w:color w:val="333D6B"/>
                <w:sz w:val="18"/>
                <w:szCs w:val="18"/>
                <w:lang w:eastAsia="es-CL"/>
              </w:rPr>
              <w:t>1.391.765</w:t>
            </w:r>
          </w:p>
        </w:tc>
      </w:tr>
      <w:tr w:rsidR="00B2757C" w:rsidRPr="009F50DF" w14:paraId="0987E101" w14:textId="77777777" w:rsidTr="00712EC5">
        <w:trPr>
          <w:trHeight w:val="327"/>
        </w:trPr>
        <w:tc>
          <w:tcPr>
            <w:tcW w:w="3020" w:type="dxa"/>
            <w:tcBorders>
              <w:top w:val="nil"/>
              <w:left w:val="nil"/>
              <w:bottom w:val="nil"/>
              <w:right w:val="nil"/>
            </w:tcBorders>
            <w:shd w:val="clear" w:color="000000" w:fill="BB1823"/>
            <w:noWrap/>
            <w:vAlign w:val="center"/>
            <w:hideMark/>
          </w:tcPr>
          <w:p w14:paraId="38309C58" w14:textId="18EE13AC" w:rsidR="00B2757C" w:rsidRPr="009F50DF" w:rsidRDefault="00B2757C" w:rsidP="009F50DF">
            <w:pPr>
              <w:rPr>
                <w:rFonts w:eastAsia="Times New Roman" w:cs="Calibri"/>
                <w:b/>
                <w:bCs/>
                <w:color w:val="FFFFFF"/>
                <w:sz w:val="18"/>
                <w:szCs w:val="18"/>
                <w:lang w:eastAsia="es-CL"/>
              </w:rPr>
            </w:pPr>
            <w:r w:rsidRPr="009F50DF">
              <w:rPr>
                <w:rFonts w:eastAsia="Times New Roman" w:cs="Calibri"/>
                <w:b/>
                <w:bCs/>
                <w:color w:val="FFFFFF"/>
                <w:sz w:val="18"/>
                <w:szCs w:val="18"/>
                <w:lang w:eastAsia="es-CL"/>
              </w:rPr>
              <w:t>Utilidad (</w:t>
            </w:r>
            <w:r w:rsidR="002A6755">
              <w:rPr>
                <w:rFonts w:eastAsia="Times New Roman" w:cs="Calibri"/>
                <w:b/>
                <w:bCs/>
                <w:color w:val="FFFFFF"/>
                <w:sz w:val="18"/>
                <w:szCs w:val="18"/>
                <w:lang w:eastAsia="es-CL"/>
              </w:rPr>
              <w:t>p</w:t>
            </w:r>
            <w:r w:rsidRPr="009F50DF">
              <w:rPr>
                <w:rFonts w:eastAsia="Times New Roman" w:cs="Calibri"/>
                <w:b/>
                <w:bCs/>
                <w:color w:val="FFFFFF"/>
                <w:sz w:val="18"/>
                <w:szCs w:val="18"/>
                <w:lang w:eastAsia="es-CL"/>
              </w:rPr>
              <w:t>érdida</w:t>
            </w:r>
            <w:r w:rsidR="004A6C54">
              <w:rPr>
                <w:rFonts w:eastAsia="Times New Roman" w:cs="Calibri"/>
                <w:b/>
                <w:bCs/>
                <w:color w:val="FFFFFF"/>
                <w:sz w:val="18"/>
                <w:szCs w:val="18"/>
                <w:lang w:eastAsia="es-CL"/>
              </w:rPr>
              <w:t>)</w:t>
            </w:r>
            <w:r w:rsidRPr="009F50DF">
              <w:rPr>
                <w:rFonts w:eastAsia="Times New Roman" w:cs="Calibri"/>
                <w:b/>
                <w:bCs/>
                <w:color w:val="FFFFFF"/>
                <w:sz w:val="18"/>
                <w:szCs w:val="18"/>
                <w:lang w:eastAsia="es-CL"/>
              </w:rPr>
              <w:t xml:space="preserve"> del </w:t>
            </w:r>
            <w:r w:rsidR="002A6755">
              <w:rPr>
                <w:rFonts w:eastAsia="Times New Roman" w:cs="Calibri"/>
                <w:b/>
                <w:bCs/>
                <w:color w:val="FFFFFF"/>
                <w:sz w:val="18"/>
                <w:szCs w:val="18"/>
                <w:lang w:eastAsia="es-CL"/>
              </w:rPr>
              <w:t>e</w:t>
            </w:r>
            <w:r w:rsidRPr="009F50DF">
              <w:rPr>
                <w:rFonts w:eastAsia="Times New Roman" w:cs="Calibri"/>
                <w:b/>
                <w:bCs/>
                <w:color w:val="FFFFFF"/>
                <w:sz w:val="18"/>
                <w:szCs w:val="18"/>
                <w:lang w:eastAsia="es-CL"/>
              </w:rPr>
              <w:t>jercicio</w:t>
            </w:r>
          </w:p>
        </w:tc>
        <w:tc>
          <w:tcPr>
            <w:tcW w:w="1385" w:type="dxa"/>
            <w:tcBorders>
              <w:top w:val="nil"/>
              <w:left w:val="nil"/>
              <w:bottom w:val="nil"/>
              <w:right w:val="nil"/>
            </w:tcBorders>
            <w:shd w:val="clear" w:color="auto" w:fill="auto"/>
            <w:noWrap/>
            <w:vAlign w:val="center"/>
            <w:hideMark/>
          </w:tcPr>
          <w:p w14:paraId="3BEAAF5D" w14:textId="1F62C233"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6.359.524</w:t>
            </w:r>
          </w:p>
        </w:tc>
        <w:tc>
          <w:tcPr>
            <w:tcW w:w="1388" w:type="dxa"/>
            <w:tcBorders>
              <w:top w:val="nil"/>
              <w:left w:val="nil"/>
              <w:bottom w:val="nil"/>
              <w:right w:val="nil"/>
            </w:tcBorders>
            <w:shd w:val="clear" w:color="auto" w:fill="auto"/>
            <w:noWrap/>
            <w:vAlign w:val="center"/>
            <w:hideMark/>
          </w:tcPr>
          <w:p w14:paraId="355662FE" w14:textId="460836B6"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2.696.200</w:t>
            </w:r>
          </w:p>
        </w:tc>
        <w:tc>
          <w:tcPr>
            <w:tcW w:w="1388" w:type="dxa"/>
            <w:tcBorders>
              <w:top w:val="nil"/>
              <w:left w:val="nil"/>
              <w:bottom w:val="nil"/>
              <w:right w:val="nil"/>
            </w:tcBorders>
            <w:shd w:val="clear" w:color="auto" w:fill="auto"/>
            <w:noWrap/>
            <w:vAlign w:val="center"/>
            <w:hideMark/>
          </w:tcPr>
          <w:p w14:paraId="4E208CCE" w14:textId="43B2118C"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1.968.813</w:t>
            </w:r>
          </w:p>
        </w:tc>
        <w:tc>
          <w:tcPr>
            <w:tcW w:w="1442" w:type="dxa"/>
            <w:tcBorders>
              <w:top w:val="nil"/>
              <w:left w:val="nil"/>
              <w:bottom w:val="nil"/>
              <w:right w:val="nil"/>
            </w:tcBorders>
            <w:shd w:val="clear" w:color="auto" w:fill="auto"/>
            <w:noWrap/>
            <w:vAlign w:val="center"/>
            <w:hideMark/>
          </w:tcPr>
          <w:p w14:paraId="51C68F34" w14:textId="4796A997"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1.530.481</w:t>
            </w:r>
          </w:p>
        </w:tc>
        <w:tc>
          <w:tcPr>
            <w:tcW w:w="1406" w:type="dxa"/>
            <w:tcBorders>
              <w:top w:val="nil"/>
              <w:left w:val="nil"/>
              <w:bottom w:val="nil"/>
              <w:right w:val="nil"/>
            </w:tcBorders>
            <w:shd w:val="clear" w:color="auto" w:fill="auto"/>
            <w:noWrap/>
            <w:vAlign w:val="center"/>
            <w:hideMark/>
          </w:tcPr>
          <w:p w14:paraId="4970ABF6" w14:textId="3F92FFBA" w:rsidR="00B2757C" w:rsidRPr="009F50DF" w:rsidRDefault="00B2757C" w:rsidP="002A6755">
            <w:pPr>
              <w:jc w:val="right"/>
              <w:rPr>
                <w:rFonts w:eastAsia="Times New Roman" w:cs="Calibri"/>
                <w:b/>
                <w:bCs/>
                <w:color w:val="333D6B"/>
                <w:sz w:val="18"/>
                <w:szCs w:val="18"/>
                <w:lang w:eastAsia="es-CL"/>
              </w:rPr>
            </w:pPr>
            <w:r w:rsidRPr="009F50DF">
              <w:rPr>
                <w:rFonts w:eastAsia="Times New Roman" w:cs="Calibri"/>
                <w:b/>
                <w:bCs/>
                <w:color w:val="333D6B"/>
                <w:sz w:val="18"/>
                <w:szCs w:val="18"/>
                <w:lang w:eastAsia="es-CL"/>
              </w:rPr>
              <w:t>3.745.677</w:t>
            </w:r>
          </w:p>
        </w:tc>
        <w:tc>
          <w:tcPr>
            <w:tcW w:w="1167" w:type="dxa"/>
            <w:tcBorders>
              <w:top w:val="nil"/>
              <w:left w:val="nil"/>
              <w:bottom w:val="nil"/>
              <w:right w:val="nil"/>
            </w:tcBorders>
            <w:shd w:val="clear" w:color="auto" w:fill="auto"/>
            <w:noWrap/>
            <w:vAlign w:val="center"/>
          </w:tcPr>
          <w:p w14:paraId="49096C2D" w14:textId="50D170B7" w:rsidR="00B2757C" w:rsidRPr="009F50DF" w:rsidRDefault="00A669A0" w:rsidP="002A6755">
            <w:pPr>
              <w:jc w:val="right"/>
              <w:rPr>
                <w:rFonts w:eastAsia="Times New Roman" w:cs="Calibri"/>
                <w:b/>
                <w:bCs/>
                <w:color w:val="333D6B"/>
                <w:sz w:val="18"/>
                <w:szCs w:val="18"/>
                <w:lang w:eastAsia="es-CL"/>
              </w:rPr>
            </w:pPr>
            <w:r w:rsidRPr="00A669A0">
              <w:rPr>
                <w:rFonts w:eastAsia="Times New Roman" w:cs="Calibri"/>
                <w:b/>
                <w:bCs/>
                <w:color w:val="333D6B"/>
                <w:sz w:val="18"/>
                <w:szCs w:val="18"/>
                <w:lang w:eastAsia="es-CL"/>
              </w:rPr>
              <w:t>11.131.958</w:t>
            </w:r>
          </w:p>
        </w:tc>
      </w:tr>
      <w:tr w:rsidR="00B2757C" w:rsidRPr="009F50DF" w14:paraId="18BC5916" w14:textId="77777777" w:rsidTr="00712EC5">
        <w:trPr>
          <w:trHeight w:val="327"/>
        </w:trPr>
        <w:tc>
          <w:tcPr>
            <w:tcW w:w="3020" w:type="dxa"/>
            <w:tcBorders>
              <w:top w:val="dotted" w:sz="4" w:space="0" w:color="E6344B"/>
              <w:left w:val="nil"/>
              <w:bottom w:val="dotted" w:sz="4" w:space="0" w:color="E6344B"/>
              <w:right w:val="nil"/>
            </w:tcBorders>
            <w:shd w:val="clear" w:color="000000" w:fill="BB1823"/>
            <w:noWrap/>
            <w:vAlign w:val="center"/>
            <w:hideMark/>
          </w:tcPr>
          <w:p w14:paraId="3CCFA800" w14:textId="679FB36E" w:rsidR="00B2757C" w:rsidRPr="009F50DF" w:rsidRDefault="00B2757C" w:rsidP="009F50DF">
            <w:pPr>
              <w:rPr>
                <w:rFonts w:eastAsia="Times New Roman" w:cs="Calibri"/>
                <w:b/>
                <w:bCs/>
                <w:color w:val="FFFFFF"/>
                <w:sz w:val="18"/>
                <w:szCs w:val="18"/>
                <w:lang w:eastAsia="es-CL"/>
              </w:rPr>
            </w:pPr>
            <w:r w:rsidRPr="009F50DF">
              <w:rPr>
                <w:rFonts w:eastAsia="Times New Roman" w:cs="Calibri"/>
                <w:b/>
                <w:bCs/>
                <w:color w:val="FFFFFF"/>
                <w:sz w:val="18"/>
                <w:szCs w:val="18"/>
                <w:lang w:eastAsia="es-CL"/>
              </w:rPr>
              <w:t>EBITDA</w:t>
            </w:r>
            <w:r>
              <w:rPr>
                <w:rStyle w:val="Refdenotaalpie"/>
                <w:rFonts w:eastAsia="Times New Roman" w:cs="Calibri"/>
                <w:b/>
                <w:bCs/>
                <w:color w:val="FFFFFF"/>
                <w:sz w:val="18"/>
                <w:szCs w:val="18"/>
                <w:lang w:eastAsia="es-CL"/>
              </w:rPr>
              <w:footnoteReference w:id="3"/>
            </w:r>
          </w:p>
        </w:tc>
        <w:tc>
          <w:tcPr>
            <w:tcW w:w="1385" w:type="dxa"/>
            <w:tcBorders>
              <w:top w:val="nil"/>
              <w:left w:val="nil"/>
              <w:bottom w:val="nil"/>
              <w:right w:val="nil"/>
            </w:tcBorders>
            <w:shd w:val="clear" w:color="auto" w:fill="auto"/>
            <w:noWrap/>
            <w:vAlign w:val="center"/>
            <w:hideMark/>
          </w:tcPr>
          <w:p w14:paraId="056CCA2A" w14:textId="2810FAFD" w:rsidR="00B2757C" w:rsidRPr="009F50DF" w:rsidRDefault="00B2757C" w:rsidP="002A6755">
            <w:pPr>
              <w:jc w:val="right"/>
              <w:rPr>
                <w:rFonts w:eastAsia="Times New Roman" w:cs="Calibri"/>
                <w:color w:val="333D6B"/>
                <w:sz w:val="18"/>
                <w:szCs w:val="18"/>
                <w:lang w:eastAsia="es-CL"/>
              </w:rPr>
            </w:pPr>
            <w:r w:rsidRPr="00453994">
              <w:rPr>
                <w:rFonts w:eastAsia="Times New Roman" w:cs="Calibri"/>
                <w:color w:val="333D6B"/>
                <w:sz w:val="18"/>
                <w:szCs w:val="18"/>
                <w:lang w:eastAsia="es-CL"/>
              </w:rPr>
              <w:t>8.600.762</w:t>
            </w:r>
          </w:p>
        </w:tc>
        <w:tc>
          <w:tcPr>
            <w:tcW w:w="1388" w:type="dxa"/>
            <w:tcBorders>
              <w:top w:val="nil"/>
              <w:left w:val="nil"/>
              <w:bottom w:val="nil"/>
              <w:right w:val="nil"/>
            </w:tcBorders>
            <w:shd w:val="clear" w:color="auto" w:fill="auto"/>
            <w:noWrap/>
            <w:vAlign w:val="center"/>
            <w:hideMark/>
          </w:tcPr>
          <w:p w14:paraId="39946FA5" w14:textId="03F237CC"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3.624.240</w:t>
            </w:r>
          </w:p>
        </w:tc>
        <w:tc>
          <w:tcPr>
            <w:tcW w:w="1388" w:type="dxa"/>
            <w:tcBorders>
              <w:top w:val="nil"/>
              <w:left w:val="nil"/>
              <w:bottom w:val="nil"/>
              <w:right w:val="nil"/>
            </w:tcBorders>
            <w:shd w:val="clear" w:color="auto" w:fill="auto"/>
            <w:noWrap/>
            <w:vAlign w:val="center"/>
            <w:hideMark/>
          </w:tcPr>
          <w:p w14:paraId="0E8BE43C" w14:textId="58B9A4FE" w:rsidR="00B2757C" w:rsidRPr="009F50DF" w:rsidRDefault="00B2757C" w:rsidP="002A6755">
            <w:pPr>
              <w:jc w:val="right"/>
              <w:rPr>
                <w:rFonts w:eastAsia="Times New Roman" w:cs="Calibri"/>
                <w:color w:val="333D6B"/>
                <w:sz w:val="18"/>
                <w:szCs w:val="18"/>
                <w:lang w:eastAsia="es-CL"/>
              </w:rPr>
            </w:pPr>
            <w:r w:rsidRPr="009F50DF">
              <w:rPr>
                <w:rFonts w:eastAsia="Times New Roman" w:cs="Calibri"/>
                <w:color w:val="333D6B"/>
                <w:sz w:val="18"/>
                <w:szCs w:val="18"/>
                <w:lang w:eastAsia="es-CL"/>
              </w:rPr>
              <w:t>6.569.162</w:t>
            </w:r>
          </w:p>
        </w:tc>
        <w:tc>
          <w:tcPr>
            <w:tcW w:w="1442" w:type="dxa"/>
            <w:tcBorders>
              <w:top w:val="nil"/>
              <w:left w:val="nil"/>
              <w:bottom w:val="nil"/>
              <w:right w:val="nil"/>
            </w:tcBorders>
            <w:shd w:val="clear" w:color="auto" w:fill="auto"/>
            <w:noWrap/>
            <w:vAlign w:val="center"/>
            <w:hideMark/>
          </w:tcPr>
          <w:p w14:paraId="27BF9CBA" w14:textId="1CE725F6" w:rsidR="00B2757C" w:rsidRPr="009F50DF" w:rsidRDefault="00453994" w:rsidP="002A6755">
            <w:pPr>
              <w:jc w:val="right"/>
              <w:rPr>
                <w:rFonts w:eastAsia="Times New Roman" w:cs="Calibri"/>
                <w:color w:val="333D6B"/>
                <w:sz w:val="18"/>
                <w:szCs w:val="18"/>
                <w:lang w:eastAsia="es-CL"/>
              </w:rPr>
            </w:pPr>
            <w:r>
              <w:rPr>
                <w:rFonts w:eastAsia="Times New Roman" w:cs="Calibri"/>
                <w:color w:val="333D6B"/>
                <w:sz w:val="18"/>
                <w:szCs w:val="18"/>
                <w:lang w:eastAsia="es-CL"/>
              </w:rPr>
              <w:t>8</w:t>
            </w:r>
            <w:r w:rsidR="00B53E69">
              <w:rPr>
                <w:rFonts w:eastAsia="Times New Roman" w:cs="Calibri"/>
                <w:color w:val="333D6B"/>
                <w:sz w:val="18"/>
                <w:szCs w:val="18"/>
                <w:lang w:eastAsia="es-CL"/>
              </w:rPr>
              <w:t>.057.582</w:t>
            </w:r>
          </w:p>
        </w:tc>
        <w:tc>
          <w:tcPr>
            <w:tcW w:w="1406" w:type="dxa"/>
            <w:tcBorders>
              <w:top w:val="nil"/>
              <w:left w:val="nil"/>
              <w:bottom w:val="nil"/>
              <w:right w:val="nil"/>
            </w:tcBorders>
            <w:shd w:val="clear" w:color="auto" w:fill="auto"/>
            <w:noWrap/>
            <w:vAlign w:val="center"/>
            <w:hideMark/>
          </w:tcPr>
          <w:p w14:paraId="7CEC579E" w14:textId="33FC5369" w:rsidR="00B2757C" w:rsidRPr="009F50DF" w:rsidRDefault="00B53E69" w:rsidP="002A6755">
            <w:pPr>
              <w:jc w:val="right"/>
              <w:rPr>
                <w:rFonts w:eastAsia="Times New Roman" w:cs="Calibri"/>
                <w:color w:val="333D6B"/>
                <w:sz w:val="18"/>
                <w:szCs w:val="18"/>
                <w:lang w:eastAsia="es-CL"/>
              </w:rPr>
            </w:pPr>
            <w:r>
              <w:rPr>
                <w:rFonts w:eastAsia="Times New Roman" w:cs="Calibri"/>
                <w:color w:val="333D6B"/>
                <w:sz w:val="18"/>
                <w:szCs w:val="18"/>
                <w:lang w:eastAsia="es-CL"/>
              </w:rPr>
              <w:t>9.696.130</w:t>
            </w:r>
          </w:p>
        </w:tc>
        <w:tc>
          <w:tcPr>
            <w:tcW w:w="1167" w:type="dxa"/>
            <w:tcBorders>
              <w:top w:val="nil"/>
              <w:left w:val="nil"/>
              <w:bottom w:val="nil"/>
              <w:right w:val="nil"/>
            </w:tcBorders>
            <w:shd w:val="clear" w:color="auto" w:fill="auto"/>
            <w:noWrap/>
            <w:vAlign w:val="center"/>
          </w:tcPr>
          <w:p w14:paraId="66099595" w14:textId="09166CA2" w:rsidR="00B2757C" w:rsidRPr="009F50DF" w:rsidRDefault="00E73620" w:rsidP="002A6755">
            <w:pPr>
              <w:jc w:val="right"/>
              <w:rPr>
                <w:rFonts w:eastAsia="Times New Roman" w:cs="Calibri"/>
                <w:color w:val="333D6B"/>
                <w:sz w:val="18"/>
                <w:szCs w:val="18"/>
                <w:lang w:eastAsia="es-CL"/>
              </w:rPr>
            </w:pPr>
            <w:r>
              <w:rPr>
                <w:rFonts w:eastAsia="Times New Roman" w:cs="Calibri"/>
                <w:color w:val="333D6B"/>
                <w:sz w:val="18"/>
                <w:szCs w:val="18"/>
                <w:lang w:eastAsia="es-CL"/>
              </w:rPr>
              <w:t>21</w:t>
            </w:r>
            <w:r w:rsidR="00712EC5">
              <w:rPr>
                <w:rFonts w:eastAsia="Times New Roman" w:cs="Calibri"/>
                <w:color w:val="333D6B"/>
                <w:sz w:val="18"/>
                <w:szCs w:val="18"/>
                <w:lang w:eastAsia="es-CL"/>
              </w:rPr>
              <w:t>.643.931</w:t>
            </w:r>
          </w:p>
        </w:tc>
      </w:tr>
    </w:tbl>
    <w:p w14:paraId="5C4919B3" w14:textId="77777777" w:rsidR="000578BB" w:rsidRDefault="000578BB"/>
    <w:p w14:paraId="7B55C2A7" w14:textId="72233D47" w:rsidR="002A6755" w:rsidRDefault="002A6755"/>
    <w:tbl>
      <w:tblPr>
        <w:tblW w:w="11068" w:type="dxa"/>
        <w:tblInd w:w="-567" w:type="dxa"/>
        <w:tblCellMar>
          <w:left w:w="70" w:type="dxa"/>
          <w:right w:w="70" w:type="dxa"/>
        </w:tblCellMar>
        <w:tblLook w:val="04A0" w:firstRow="1" w:lastRow="0" w:firstColumn="1" w:lastColumn="0" w:noHBand="0" w:noVBand="1"/>
      </w:tblPr>
      <w:tblGrid>
        <w:gridCol w:w="2801"/>
        <w:gridCol w:w="1290"/>
        <w:gridCol w:w="1328"/>
        <w:gridCol w:w="1413"/>
        <w:gridCol w:w="1469"/>
        <w:gridCol w:w="1431"/>
        <w:gridCol w:w="1336"/>
      </w:tblGrid>
      <w:tr w:rsidR="004A6C54" w:rsidRPr="0059568C" w14:paraId="7F74E235" w14:textId="77777777" w:rsidTr="0073625F">
        <w:trPr>
          <w:trHeight w:val="305"/>
        </w:trPr>
        <w:tc>
          <w:tcPr>
            <w:tcW w:w="11068" w:type="dxa"/>
            <w:gridSpan w:val="7"/>
            <w:tcBorders>
              <w:top w:val="nil"/>
              <w:left w:val="nil"/>
              <w:bottom w:val="nil"/>
              <w:right w:val="nil"/>
            </w:tcBorders>
            <w:shd w:val="clear" w:color="000000" w:fill="BB1823"/>
            <w:noWrap/>
            <w:vAlign w:val="center"/>
            <w:hideMark/>
          </w:tcPr>
          <w:p w14:paraId="4FD37D25" w14:textId="33223229" w:rsidR="004A6C54" w:rsidRPr="0059568C" w:rsidRDefault="004A6C54" w:rsidP="004A6C54">
            <w:pPr>
              <w:rPr>
                <w:rFonts w:eastAsia="Times New Roman" w:cs="Calibri"/>
                <w:b/>
                <w:bCs/>
                <w:color w:val="FFFFFF"/>
                <w:sz w:val="18"/>
                <w:szCs w:val="18"/>
                <w:lang w:eastAsia="es-CL"/>
              </w:rPr>
            </w:pPr>
            <w:r w:rsidRPr="0059568C">
              <w:rPr>
                <w:rFonts w:eastAsia="Times New Roman" w:cs="Calibri"/>
                <w:b/>
                <w:bCs/>
                <w:color w:val="FFFFFF"/>
                <w:sz w:val="18"/>
                <w:szCs w:val="18"/>
                <w:lang w:eastAsia="es-CL"/>
              </w:rPr>
              <w:t>Estado de situación financiera IFRS</w:t>
            </w:r>
          </w:p>
        </w:tc>
      </w:tr>
      <w:tr w:rsidR="0059568C" w:rsidRPr="0059568C" w14:paraId="641C0613" w14:textId="77777777" w:rsidTr="002A6755">
        <w:trPr>
          <w:trHeight w:val="305"/>
        </w:trPr>
        <w:tc>
          <w:tcPr>
            <w:tcW w:w="2801" w:type="dxa"/>
            <w:tcBorders>
              <w:top w:val="nil"/>
              <w:left w:val="nil"/>
              <w:bottom w:val="nil"/>
              <w:right w:val="nil"/>
            </w:tcBorders>
            <w:shd w:val="clear" w:color="000000" w:fill="BB1823"/>
            <w:noWrap/>
            <w:vAlign w:val="center"/>
            <w:hideMark/>
          </w:tcPr>
          <w:p w14:paraId="42170F6D" w14:textId="77777777" w:rsidR="0059568C" w:rsidRPr="0059568C" w:rsidRDefault="0059568C" w:rsidP="0059568C">
            <w:pPr>
              <w:jc w:val="center"/>
              <w:rPr>
                <w:rFonts w:eastAsia="Times New Roman" w:cs="Calibri"/>
                <w:b/>
                <w:bCs/>
                <w:color w:val="FFFFFF"/>
                <w:sz w:val="18"/>
                <w:szCs w:val="18"/>
                <w:lang w:eastAsia="es-CL"/>
              </w:rPr>
            </w:pPr>
            <w:r w:rsidRPr="0059568C">
              <w:rPr>
                <w:rFonts w:eastAsia="Times New Roman" w:cs="Calibri"/>
                <w:b/>
                <w:bCs/>
                <w:color w:val="FFFFFF"/>
                <w:sz w:val="18"/>
                <w:szCs w:val="18"/>
                <w:lang w:eastAsia="es-CL"/>
              </w:rPr>
              <w:t>M$ de cada año</w:t>
            </w:r>
          </w:p>
        </w:tc>
        <w:tc>
          <w:tcPr>
            <w:tcW w:w="1290" w:type="dxa"/>
            <w:tcBorders>
              <w:top w:val="nil"/>
              <w:left w:val="nil"/>
              <w:bottom w:val="nil"/>
              <w:right w:val="nil"/>
            </w:tcBorders>
            <w:shd w:val="clear" w:color="000000" w:fill="BB1823"/>
            <w:noWrap/>
            <w:vAlign w:val="center"/>
            <w:hideMark/>
          </w:tcPr>
          <w:p w14:paraId="09B7B253" w14:textId="77777777" w:rsidR="0059568C" w:rsidRPr="0059568C" w:rsidRDefault="0059568C" w:rsidP="0059568C">
            <w:pPr>
              <w:jc w:val="center"/>
              <w:rPr>
                <w:rFonts w:eastAsia="Times New Roman" w:cs="Calibri"/>
                <w:b/>
                <w:bCs/>
                <w:color w:val="FFFFFF"/>
                <w:sz w:val="18"/>
                <w:szCs w:val="18"/>
                <w:lang w:eastAsia="es-CL"/>
              </w:rPr>
            </w:pPr>
            <w:r w:rsidRPr="0059568C">
              <w:rPr>
                <w:rFonts w:eastAsia="Times New Roman" w:cs="Calibri"/>
                <w:b/>
                <w:bCs/>
                <w:color w:val="FFFFFF"/>
                <w:sz w:val="18"/>
                <w:szCs w:val="18"/>
                <w:lang w:eastAsia="es-CL"/>
              </w:rPr>
              <w:t>2016</w:t>
            </w:r>
          </w:p>
        </w:tc>
        <w:tc>
          <w:tcPr>
            <w:tcW w:w="1328" w:type="dxa"/>
            <w:tcBorders>
              <w:top w:val="nil"/>
              <w:left w:val="nil"/>
              <w:bottom w:val="nil"/>
              <w:right w:val="nil"/>
            </w:tcBorders>
            <w:shd w:val="clear" w:color="000000" w:fill="BB1823"/>
            <w:noWrap/>
            <w:vAlign w:val="center"/>
            <w:hideMark/>
          </w:tcPr>
          <w:p w14:paraId="6740D8F1" w14:textId="77777777" w:rsidR="0059568C" w:rsidRPr="0059568C" w:rsidRDefault="0059568C" w:rsidP="0059568C">
            <w:pPr>
              <w:jc w:val="center"/>
              <w:rPr>
                <w:rFonts w:eastAsia="Times New Roman" w:cs="Calibri"/>
                <w:b/>
                <w:bCs/>
                <w:color w:val="FFFFFF"/>
                <w:sz w:val="18"/>
                <w:szCs w:val="18"/>
                <w:lang w:eastAsia="es-CL"/>
              </w:rPr>
            </w:pPr>
            <w:r w:rsidRPr="0059568C">
              <w:rPr>
                <w:rFonts w:eastAsia="Times New Roman" w:cs="Calibri"/>
                <w:b/>
                <w:bCs/>
                <w:color w:val="FFFFFF"/>
                <w:sz w:val="18"/>
                <w:szCs w:val="18"/>
                <w:lang w:eastAsia="es-CL"/>
              </w:rPr>
              <w:t>2017</w:t>
            </w:r>
          </w:p>
        </w:tc>
        <w:tc>
          <w:tcPr>
            <w:tcW w:w="1413" w:type="dxa"/>
            <w:tcBorders>
              <w:top w:val="nil"/>
              <w:left w:val="nil"/>
              <w:bottom w:val="nil"/>
              <w:right w:val="nil"/>
            </w:tcBorders>
            <w:shd w:val="clear" w:color="000000" w:fill="BB1823"/>
            <w:noWrap/>
            <w:vAlign w:val="center"/>
            <w:hideMark/>
          </w:tcPr>
          <w:p w14:paraId="3DCF77A2" w14:textId="77777777" w:rsidR="0059568C" w:rsidRPr="0059568C" w:rsidRDefault="0059568C" w:rsidP="0059568C">
            <w:pPr>
              <w:jc w:val="center"/>
              <w:rPr>
                <w:rFonts w:eastAsia="Times New Roman" w:cs="Calibri"/>
                <w:b/>
                <w:bCs/>
                <w:color w:val="FFFFFF"/>
                <w:sz w:val="18"/>
                <w:szCs w:val="18"/>
                <w:lang w:eastAsia="es-CL"/>
              </w:rPr>
            </w:pPr>
            <w:r w:rsidRPr="0059568C">
              <w:rPr>
                <w:rFonts w:eastAsia="Times New Roman" w:cs="Calibri"/>
                <w:b/>
                <w:bCs/>
                <w:color w:val="FFFFFF"/>
                <w:sz w:val="18"/>
                <w:szCs w:val="18"/>
                <w:lang w:eastAsia="es-CL"/>
              </w:rPr>
              <w:t>2018</w:t>
            </w:r>
          </w:p>
        </w:tc>
        <w:tc>
          <w:tcPr>
            <w:tcW w:w="1469" w:type="dxa"/>
            <w:tcBorders>
              <w:top w:val="nil"/>
              <w:left w:val="nil"/>
              <w:bottom w:val="nil"/>
              <w:right w:val="nil"/>
            </w:tcBorders>
            <w:shd w:val="clear" w:color="000000" w:fill="BB1823"/>
            <w:noWrap/>
            <w:vAlign w:val="center"/>
            <w:hideMark/>
          </w:tcPr>
          <w:p w14:paraId="5B2D52C6" w14:textId="77777777" w:rsidR="0059568C" w:rsidRPr="0059568C" w:rsidRDefault="0059568C" w:rsidP="0059568C">
            <w:pPr>
              <w:jc w:val="center"/>
              <w:rPr>
                <w:rFonts w:eastAsia="Times New Roman" w:cs="Calibri"/>
                <w:b/>
                <w:bCs/>
                <w:color w:val="FFFFFF"/>
                <w:sz w:val="18"/>
                <w:szCs w:val="18"/>
                <w:lang w:eastAsia="es-CL"/>
              </w:rPr>
            </w:pPr>
            <w:r w:rsidRPr="0059568C">
              <w:rPr>
                <w:rFonts w:eastAsia="Times New Roman" w:cs="Calibri"/>
                <w:b/>
                <w:bCs/>
                <w:color w:val="FFFFFF"/>
                <w:sz w:val="18"/>
                <w:szCs w:val="18"/>
                <w:lang w:eastAsia="es-CL"/>
              </w:rPr>
              <w:t>2019</w:t>
            </w:r>
          </w:p>
        </w:tc>
        <w:tc>
          <w:tcPr>
            <w:tcW w:w="1431" w:type="dxa"/>
            <w:tcBorders>
              <w:top w:val="nil"/>
              <w:left w:val="nil"/>
              <w:bottom w:val="nil"/>
              <w:right w:val="nil"/>
            </w:tcBorders>
            <w:shd w:val="clear" w:color="000000" w:fill="BB1823"/>
            <w:noWrap/>
            <w:vAlign w:val="center"/>
            <w:hideMark/>
          </w:tcPr>
          <w:p w14:paraId="74CD565C" w14:textId="77777777" w:rsidR="0059568C" w:rsidRPr="0059568C" w:rsidRDefault="0059568C" w:rsidP="0059568C">
            <w:pPr>
              <w:jc w:val="center"/>
              <w:rPr>
                <w:rFonts w:eastAsia="Times New Roman" w:cs="Calibri"/>
                <w:b/>
                <w:bCs/>
                <w:color w:val="FFFFFF"/>
                <w:sz w:val="18"/>
                <w:szCs w:val="18"/>
                <w:lang w:eastAsia="es-CL"/>
              </w:rPr>
            </w:pPr>
            <w:r w:rsidRPr="0059568C">
              <w:rPr>
                <w:rFonts w:eastAsia="Times New Roman" w:cs="Calibri"/>
                <w:b/>
                <w:bCs/>
                <w:color w:val="FFFFFF"/>
                <w:sz w:val="18"/>
                <w:szCs w:val="18"/>
                <w:lang w:eastAsia="es-CL"/>
              </w:rPr>
              <w:t>2020</w:t>
            </w:r>
          </w:p>
        </w:tc>
        <w:tc>
          <w:tcPr>
            <w:tcW w:w="1336" w:type="dxa"/>
            <w:tcBorders>
              <w:top w:val="nil"/>
              <w:left w:val="nil"/>
              <w:bottom w:val="nil"/>
              <w:right w:val="nil"/>
            </w:tcBorders>
            <w:shd w:val="clear" w:color="000000" w:fill="BB1823"/>
            <w:noWrap/>
            <w:vAlign w:val="center"/>
            <w:hideMark/>
          </w:tcPr>
          <w:p w14:paraId="0476FEDD" w14:textId="2A83A222" w:rsidR="0059568C" w:rsidRPr="0059568C" w:rsidRDefault="007541F5" w:rsidP="0059568C">
            <w:pPr>
              <w:jc w:val="center"/>
              <w:rPr>
                <w:rFonts w:eastAsia="Times New Roman" w:cs="Calibri"/>
                <w:b/>
                <w:bCs/>
                <w:color w:val="FFFFFF"/>
                <w:sz w:val="18"/>
                <w:szCs w:val="18"/>
                <w:lang w:eastAsia="es-CL"/>
              </w:rPr>
            </w:pPr>
            <w:r>
              <w:rPr>
                <w:rFonts w:eastAsia="Times New Roman" w:cs="Calibri"/>
                <w:b/>
                <w:bCs/>
                <w:color w:val="FFFFFF"/>
                <w:sz w:val="18"/>
                <w:szCs w:val="18"/>
                <w:lang w:eastAsia="es-CL"/>
              </w:rPr>
              <w:t>sept</w:t>
            </w:r>
            <w:r w:rsidR="0059568C" w:rsidRPr="0059568C">
              <w:rPr>
                <w:rFonts w:eastAsia="Times New Roman" w:cs="Calibri"/>
                <w:b/>
                <w:bCs/>
                <w:color w:val="FFFFFF"/>
                <w:sz w:val="18"/>
                <w:szCs w:val="18"/>
                <w:lang w:eastAsia="es-CL"/>
              </w:rPr>
              <w:t>-21</w:t>
            </w:r>
          </w:p>
        </w:tc>
      </w:tr>
      <w:tr w:rsidR="0059568C" w:rsidRPr="0059568C" w14:paraId="0535B5FB" w14:textId="77777777" w:rsidTr="002A6755">
        <w:trPr>
          <w:trHeight w:val="305"/>
        </w:trPr>
        <w:tc>
          <w:tcPr>
            <w:tcW w:w="2801" w:type="dxa"/>
            <w:tcBorders>
              <w:top w:val="nil"/>
              <w:left w:val="nil"/>
              <w:bottom w:val="nil"/>
              <w:right w:val="nil"/>
            </w:tcBorders>
            <w:shd w:val="clear" w:color="000000" w:fill="BB1823"/>
            <w:noWrap/>
            <w:vAlign w:val="center"/>
            <w:hideMark/>
          </w:tcPr>
          <w:p w14:paraId="22220409" w14:textId="0C18EA19" w:rsidR="0059568C" w:rsidRPr="0059568C" w:rsidRDefault="0059568C" w:rsidP="0059568C">
            <w:pPr>
              <w:rPr>
                <w:rFonts w:eastAsia="Times New Roman" w:cs="Calibri"/>
                <w:b/>
                <w:bCs/>
                <w:color w:val="FFFFFF"/>
                <w:sz w:val="18"/>
                <w:szCs w:val="18"/>
                <w:lang w:eastAsia="es-CL"/>
              </w:rPr>
            </w:pPr>
            <w:r w:rsidRPr="0059568C">
              <w:rPr>
                <w:rFonts w:eastAsia="Times New Roman" w:cs="Calibri"/>
                <w:b/>
                <w:bCs/>
                <w:color w:val="FFFFFF"/>
                <w:sz w:val="18"/>
                <w:szCs w:val="18"/>
                <w:lang w:eastAsia="es-CL"/>
              </w:rPr>
              <w:t xml:space="preserve">Activos </w:t>
            </w:r>
            <w:r w:rsidR="004A6C54">
              <w:rPr>
                <w:rFonts w:eastAsia="Times New Roman" w:cs="Calibri"/>
                <w:b/>
                <w:bCs/>
                <w:color w:val="FFFFFF"/>
                <w:sz w:val="18"/>
                <w:szCs w:val="18"/>
                <w:lang w:eastAsia="es-CL"/>
              </w:rPr>
              <w:t>c</w:t>
            </w:r>
            <w:r w:rsidRPr="0059568C">
              <w:rPr>
                <w:rFonts w:eastAsia="Times New Roman" w:cs="Calibri"/>
                <w:b/>
                <w:bCs/>
                <w:color w:val="FFFFFF"/>
                <w:sz w:val="18"/>
                <w:szCs w:val="18"/>
                <w:lang w:eastAsia="es-CL"/>
              </w:rPr>
              <w:t>orrientes</w:t>
            </w:r>
          </w:p>
        </w:tc>
        <w:tc>
          <w:tcPr>
            <w:tcW w:w="1290" w:type="dxa"/>
            <w:tcBorders>
              <w:top w:val="nil"/>
              <w:left w:val="nil"/>
              <w:bottom w:val="nil"/>
              <w:right w:val="nil"/>
            </w:tcBorders>
            <w:shd w:val="clear" w:color="auto" w:fill="auto"/>
            <w:noWrap/>
            <w:vAlign w:val="center"/>
            <w:hideMark/>
          </w:tcPr>
          <w:p w14:paraId="0E018DC9" w14:textId="1C0DD7F8"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48.778.559</w:t>
            </w:r>
          </w:p>
        </w:tc>
        <w:tc>
          <w:tcPr>
            <w:tcW w:w="1328" w:type="dxa"/>
            <w:tcBorders>
              <w:top w:val="nil"/>
              <w:left w:val="nil"/>
              <w:bottom w:val="nil"/>
              <w:right w:val="nil"/>
            </w:tcBorders>
            <w:shd w:val="clear" w:color="auto" w:fill="auto"/>
            <w:noWrap/>
            <w:vAlign w:val="center"/>
            <w:hideMark/>
          </w:tcPr>
          <w:p w14:paraId="6CA91A8E" w14:textId="0E781EBE"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49.705.832</w:t>
            </w:r>
          </w:p>
        </w:tc>
        <w:tc>
          <w:tcPr>
            <w:tcW w:w="1413" w:type="dxa"/>
            <w:tcBorders>
              <w:top w:val="nil"/>
              <w:left w:val="nil"/>
              <w:bottom w:val="nil"/>
              <w:right w:val="nil"/>
            </w:tcBorders>
            <w:shd w:val="clear" w:color="auto" w:fill="auto"/>
            <w:noWrap/>
            <w:vAlign w:val="center"/>
            <w:hideMark/>
          </w:tcPr>
          <w:p w14:paraId="2E6C9ED1" w14:textId="04BEAB65"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51.848.326</w:t>
            </w:r>
          </w:p>
        </w:tc>
        <w:tc>
          <w:tcPr>
            <w:tcW w:w="1469" w:type="dxa"/>
            <w:tcBorders>
              <w:top w:val="nil"/>
              <w:left w:val="nil"/>
              <w:bottom w:val="nil"/>
              <w:right w:val="nil"/>
            </w:tcBorders>
            <w:shd w:val="clear" w:color="auto" w:fill="auto"/>
            <w:noWrap/>
            <w:vAlign w:val="center"/>
            <w:hideMark/>
          </w:tcPr>
          <w:p w14:paraId="18157AB1" w14:textId="2B54285C"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64.150.789</w:t>
            </w:r>
          </w:p>
        </w:tc>
        <w:tc>
          <w:tcPr>
            <w:tcW w:w="1431" w:type="dxa"/>
            <w:tcBorders>
              <w:top w:val="nil"/>
              <w:left w:val="nil"/>
              <w:bottom w:val="nil"/>
              <w:right w:val="nil"/>
            </w:tcBorders>
            <w:shd w:val="clear" w:color="auto" w:fill="auto"/>
            <w:noWrap/>
            <w:vAlign w:val="center"/>
            <w:hideMark/>
          </w:tcPr>
          <w:p w14:paraId="0B1085B6" w14:textId="6555493C"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68.932.850</w:t>
            </w:r>
          </w:p>
        </w:tc>
        <w:tc>
          <w:tcPr>
            <w:tcW w:w="1336" w:type="dxa"/>
            <w:tcBorders>
              <w:top w:val="nil"/>
              <w:left w:val="nil"/>
              <w:bottom w:val="nil"/>
              <w:right w:val="nil"/>
            </w:tcBorders>
            <w:shd w:val="clear" w:color="auto" w:fill="auto"/>
            <w:noWrap/>
            <w:vAlign w:val="center"/>
          </w:tcPr>
          <w:p w14:paraId="13E64D71" w14:textId="790F0504" w:rsidR="0059568C" w:rsidRPr="0059568C" w:rsidRDefault="00216AA2" w:rsidP="004A6C54">
            <w:pPr>
              <w:jc w:val="right"/>
              <w:rPr>
                <w:rFonts w:eastAsia="Times New Roman" w:cs="Calibri"/>
                <w:color w:val="333D6B"/>
                <w:sz w:val="18"/>
                <w:szCs w:val="18"/>
                <w:lang w:eastAsia="es-CL"/>
              </w:rPr>
            </w:pPr>
            <w:r w:rsidRPr="00216AA2">
              <w:rPr>
                <w:rFonts w:eastAsia="Times New Roman" w:cs="Calibri"/>
                <w:color w:val="333D6B"/>
                <w:sz w:val="18"/>
                <w:szCs w:val="18"/>
                <w:lang w:eastAsia="es-CL"/>
              </w:rPr>
              <w:t>110.877.875</w:t>
            </w:r>
          </w:p>
        </w:tc>
      </w:tr>
      <w:tr w:rsidR="0059568C" w:rsidRPr="0059568C" w14:paraId="72164AA9" w14:textId="77777777" w:rsidTr="002A6755">
        <w:trPr>
          <w:trHeight w:val="305"/>
        </w:trPr>
        <w:tc>
          <w:tcPr>
            <w:tcW w:w="2801" w:type="dxa"/>
            <w:tcBorders>
              <w:top w:val="nil"/>
              <w:left w:val="nil"/>
              <w:bottom w:val="nil"/>
              <w:right w:val="nil"/>
            </w:tcBorders>
            <w:shd w:val="clear" w:color="000000" w:fill="BB1823"/>
            <w:noWrap/>
            <w:vAlign w:val="center"/>
            <w:hideMark/>
          </w:tcPr>
          <w:p w14:paraId="78930E0F" w14:textId="7FD562C5" w:rsidR="0059568C" w:rsidRPr="0059568C" w:rsidRDefault="0059568C" w:rsidP="0059568C">
            <w:pPr>
              <w:rPr>
                <w:rFonts w:eastAsia="Times New Roman" w:cs="Calibri"/>
                <w:b/>
                <w:bCs/>
                <w:color w:val="FFFFFF"/>
                <w:sz w:val="18"/>
                <w:szCs w:val="18"/>
                <w:lang w:eastAsia="es-CL"/>
              </w:rPr>
            </w:pPr>
            <w:r w:rsidRPr="0059568C">
              <w:rPr>
                <w:rFonts w:eastAsia="Times New Roman" w:cs="Calibri"/>
                <w:b/>
                <w:bCs/>
                <w:color w:val="FFFFFF"/>
                <w:sz w:val="18"/>
                <w:szCs w:val="18"/>
                <w:lang w:eastAsia="es-CL"/>
              </w:rPr>
              <w:t xml:space="preserve">Activos </w:t>
            </w:r>
            <w:r w:rsidR="004A6C54">
              <w:rPr>
                <w:rFonts w:eastAsia="Times New Roman" w:cs="Calibri"/>
                <w:b/>
                <w:bCs/>
                <w:color w:val="FFFFFF"/>
                <w:sz w:val="18"/>
                <w:szCs w:val="18"/>
                <w:lang w:eastAsia="es-CL"/>
              </w:rPr>
              <w:t>n</w:t>
            </w:r>
            <w:r w:rsidRPr="0059568C">
              <w:rPr>
                <w:rFonts w:eastAsia="Times New Roman" w:cs="Calibri"/>
                <w:b/>
                <w:bCs/>
                <w:color w:val="FFFFFF"/>
                <w:sz w:val="18"/>
                <w:szCs w:val="18"/>
                <w:lang w:eastAsia="es-CL"/>
              </w:rPr>
              <w:t xml:space="preserve">o </w:t>
            </w:r>
            <w:r w:rsidR="004A6C54">
              <w:rPr>
                <w:rFonts w:eastAsia="Times New Roman" w:cs="Calibri"/>
                <w:b/>
                <w:bCs/>
                <w:color w:val="FFFFFF"/>
                <w:sz w:val="18"/>
                <w:szCs w:val="18"/>
                <w:lang w:eastAsia="es-CL"/>
              </w:rPr>
              <w:t>c</w:t>
            </w:r>
            <w:r w:rsidRPr="0059568C">
              <w:rPr>
                <w:rFonts w:eastAsia="Times New Roman" w:cs="Calibri"/>
                <w:b/>
                <w:bCs/>
                <w:color w:val="FFFFFF"/>
                <w:sz w:val="18"/>
                <w:szCs w:val="18"/>
                <w:lang w:eastAsia="es-CL"/>
              </w:rPr>
              <w:t>orrientes</w:t>
            </w:r>
          </w:p>
        </w:tc>
        <w:tc>
          <w:tcPr>
            <w:tcW w:w="1290" w:type="dxa"/>
            <w:tcBorders>
              <w:top w:val="nil"/>
              <w:left w:val="nil"/>
              <w:bottom w:val="nil"/>
              <w:right w:val="nil"/>
            </w:tcBorders>
            <w:shd w:val="clear" w:color="auto" w:fill="auto"/>
            <w:noWrap/>
            <w:vAlign w:val="center"/>
            <w:hideMark/>
          </w:tcPr>
          <w:p w14:paraId="3C8F5846" w14:textId="473B7653"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2.269.632</w:t>
            </w:r>
          </w:p>
        </w:tc>
        <w:tc>
          <w:tcPr>
            <w:tcW w:w="1328" w:type="dxa"/>
            <w:tcBorders>
              <w:top w:val="nil"/>
              <w:left w:val="nil"/>
              <w:bottom w:val="nil"/>
              <w:right w:val="nil"/>
            </w:tcBorders>
            <w:shd w:val="clear" w:color="auto" w:fill="auto"/>
            <w:noWrap/>
            <w:vAlign w:val="center"/>
            <w:hideMark/>
          </w:tcPr>
          <w:p w14:paraId="623A54F6" w14:textId="10F2195D"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2.864.086</w:t>
            </w:r>
          </w:p>
        </w:tc>
        <w:tc>
          <w:tcPr>
            <w:tcW w:w="1413" w:type="dxa"/>
            <w:tcBorders>
              <w:top w:val="nil"/>
              <w:left w:val="nil"/>
              <w:bottom w:val="nil"/>
              <w:right w:val="nil"/>
            </w:tcBorders>
            <w:shd w:val="clear" w:color="auto" w:fill="auto"/>
            <w:noWrap/>
            <w:vAlign w:val="center"/>
            <w:hideMark/>
          </w:tcPr>
          <w:p w14:paraId="72DA51E8" w14:textId="1B3B6019"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3.110.855</w:t>
            </w:r>
          </w:p>
        </w:tc>
        <w:tc>
          <w:tcPr>
            <w:tcW w:w="1469" w:type="dxa"/>
            <w:tcBorders>
              <w:top w:val="nil"/>
              <w:left w:val="nil"/>
              <w:bottom w:val="nil"/>
              <w:right w:val="nil"/>
            </w:tcBorders>
            <w:shd w:val="clear" w:color="auto" w:fill="auto"/>
            <w:noWrap/>
            <w:vAlign w:val="center"/>
            <w:hideMark/>
          </w:tcPr>
          <w:p w14:paraId="3C852ABE" w14:textId="3B156C23"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31.369.426</w:t>
            </w:r>
          </w:p>
        </w:tc>
        <w:tc>
          <w:tcPr>
            <w:tcW w:w="1431" w:type="dxa"/>
            <w:tcBorders>
              <w:top w:val="nil"/>
              <w:left w:val="nil"/>
              <w:bottom w:val="nil"/>
              <w:right w:val="nil"/>
            </w:tcBorders>
            <w:shd w:val="clear" w:color="auto" w:fill="auto"/>
            <w:noWrap/>
            <w:vAlign w:val="center"/>
            <w:hideMark/>
          </w:tcPr>
          <w:p w14:paraId="5BC57F6E" w14:textId="65ECFE9F"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31.309.468</w:t>
            </w:r>
          </w:p>
        </w:tc>
        <w:tc>
          <w:tcPr>
            <w:tcW w:w="1336" w:type="dxa"/>
            <w:tcBorders>
              <w:top w:val="nil"/>
              <w:left w:val="nil"/>
              <w:bottom w:val="nil"/>
              <w:right w:val="nil"/>
            </w:tcBorders>
            <w:shd w:val="clear" w:color="auto" w:fill="auto"/>
            <w:noWrap/>
            <w:vAlign w:val="center"/>
          </w:tcPr>
          <w:p w14:paraId="42B698F2" w14:textId="11F38D73" w:rsidR="0059568C" w:rsidRPr="0059568C" w:rsidRDefault="00216AA2" w:rsidP="004A6C54">
            <w:pPr>
              <w:jc w:val="right"/>
              <w:rPr>
                <w:rFonts w:eastAsia="Times New Roman" w:cs="Calibri"/>
                <w:color w:val="333D6B"/>
                <w:sz w:val="18"/>
                <w:szCs w:val="18"/>
                <w:lang w:eastAsia="es-CL"/>
              </w:rPr>
            </w:pPr>
            <w:r w:rsidRPr="00216AA2">
              <w:rPr>
                <w:rFonts w:eastAsia="Times New Roman" w:cs="Calibri"/>
                <w:color w:val="333D6B"/>
                <w:sz w:val="18"/>
                <w:szCs w:val="18"/>
                <w:lang w:eastAsia="es-CL"/>
              </w:rPr>
              <w:t>46.680.887</w:t>
            </w:r>
          </w:p>
        </w:tc>
      </w:tr>
      <w:tr w:rsidR="0059568C" w:rsidRPr="0059568C" w14:paraId="15FF3109" w14:textId="77777777" w:rsidTr="002A6755">
        <w:trPr>
          <w:trHeight w:val="305"/>
        </w:trPr>
        <w:tc>
          <w:tcPr>
            <w:tcW w:w="2801" w:type="dxa"/>
            <w:tcBorders>
              <w:top w:val="nil"/>
              <w:left w:val="nil"/>
              <w:bottom w:val="nil"/>
              <w:right w:val="nil"/>
            </w:tcBorders>
            <w:shd w:val="clear" w:color="000000" w:fill="BB1823"/>
            <w:noWrap/>
            <w:vAlign w:val="center"/>
            <w:hideMark/>
          </w:tcPr>
          <w:p w14:paraId="5C3B31ED" w14:textId="4E7B231B" w:rsidR="0059568C" w:rsidRPr="0059568C" w:rsidRDefault="0059568C" w:rsidP="0059568C">
            <w:pPr>
              <w:rPr>
                <w:rFonts w:eastAsia="Times New Roman" w:cs="Calibri"/>
                <w:b/>
                <w:bCs/>
                <w:color w:val="FFFFFF"/>
                <w:sz w:val="18"/>
                <w:szCs w:val="18"/>
                <w:lang w:eastAsia="es-CL"/>
              </w:rPr>
            </w:pPr>
            <w:proofErr w:type="gramStart"/>
            <w:r w:rsidRPr="0059568C">
              <w:rPr>
                <w:rFonts w:eastAsia="Times New Roman" w:cs="Calibri"/>
                <w:b/>
                <w:bCs/>
                <w:color w:val="FFFFFF"/>
                <w:sz w:val="18"/>
                <w:szCs w:val="18"/>
                <w:lang w:eastAsia="es-CL"/>
              </w:rPr>
              <w:t>Total</w:t>
            </w:r>
            <w:proofErr w:type="gramEnd"/>
            <w:r w:rsidRPr="0059568C">
              <w:rPr>
                <w:rFonts w:eastAsia="Times New Roman" w:cs="Calibri"/>
                <w:b/>
                <w:bCs/>
                <w:color w:val="FFFFFF"/>
                <w:sz w:val="18"/>
                <w:szCs w:val="18"/>
                <w:lang w:eastAsia="es-CL"/>
              </w:rPr>
              <w:t xml:space="preserve"> de </w:t>
            </w:r>
            <w:r w:rsidR="004A6C54">
              <w:rPr>
                <w:rFonts w:eastAsia="Times New Roman" w:cs="Calibri"/>
                <w:b/>
                <w:bCs/>
                <w:color w:val="FFFFFF"/>
                <w:sz w:val="18"/>
                <w:szCs w:val="18"/>
                <w:lang w:eastAsia="es-CL"/>
              </w:rPr>
              <w:t>a</w:t>
            </w:r>
            <w:r w:rsidRPr="0059568C">
              <w:rPr>
                <w:rFonts w:eastAsia="Times New Roman" w:cs="Calibri"/>
                <w:b/>
                <w:bCs/>
                <w:color w:val="FFFFFF"/>
                <w:sz w:val="18"/>
                <w:szCs w:val="18"/>
                <w:lang w:eastAsia="es-CL"/>
              </w:rPr>
              <w:t>ctivos</w:t>
            </w:r>
          </w:p>
        </w:tc>
        <w:tc>
          <w:tcPr>
            <w:tcW w:w="1290" w:type="dxa"/>
            <w:tcBorders>
              <w:top w:val="nil"/>
              <w:left w:val="nil"/>
              <w:bottom w:val="nil"/>
              <w:right w:val="nil"/>
            </w:tcBorders>
            <w:shd w:val="clear" w:color="auto" w:fill="auto"/>
            <w:noWrap/>
            <w:vAlign w:val="center"/>
            <w:hideMark/>
          </w:tcPr>
          <w:p w14:paraId="65F726BD" w14:textId="477116AE"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51.048.191</w:t>
            </w:r>
          </w:p>
        </w:tc>
        <w:tc>
          <w:tcPr>
            <w:tcW w:w="1328" w:type="dxa"/>
            <w:tcBorders>
              <w:top w:val="nil"/>
              <w:left w:val="nil"/>
              <w:bottom w:val="nil"/>
              <w:right w:val="nil"/>
            </w:tcBorders>
            <w:shd w:val="clear" w:color="auto" w:fill="auto"/>
            <w:noWrap/>
            <w:vAlign w:val="center"/>
            <w:hideMark/>
          </w:tcPr>
          <w:p w14:paraId="5596121A" w14:textId="3D1312C9"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52.569.918</w:t>
            </w:r>
          </w:p>
        </w:tc>
        <w:tc>
          <w:tcPr>
            <w:tcW w:w="1413" w:type="dxa"/>
            <w:tcBorders>
              <w:top w:val="nil"/>
              <w:left w:val="nil"/>
              <w:bottom w:val="nil"/>
              <w:right w:val="nil"/>
            </w:tcBorders>
            <w:shd w:val="clear" w:color="auto" w:fill="auto"/>
            <w:noWrap/>
            <w:vAlign w:val="center"/>
            <w:hideMark/>
          </w:tcPr>
          <w:p w14:paraId="7941496E" w14:textId="4F8CB2B9"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54.959.181</w:t>
            </w:r>
          </w:p>
        </w:tc>
        <w:tc>
          <w:tcPr>
            <w:tcW w:w="1469" w:type="dxa"/>
            <w:tcBorders>
              <w:top w:val="nil"/>
              <w:left w:val="nil"/>
              <w:bottom w:val="nil"/>
              <w:right w:val="nil"/>
            </w:tcBorders>
            <w:shd w:val="clear" w:color="auto" w:fill="auto"/>
            <w:noWrap/>
            <w:vAlign w:val="center"/>
            <w:hideMark/>
          </w:tcPr>
          <w:p w14:paraId="58AB06EE" w14:textId="24B3022D"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95.520.215</w:t>
            </w:r>
          </w:p>
        </w:tc>
        <w:tc>
          <w:tcPr>
            <w:tcW w:w="1431" w:type="dxa"/>
            <w:tcBorders>
              <w:top w:val="nil"/>
              <w:left w:val="nil"/>
              <w:bottom w:val="nil"/>
              <w:right w:val="nil"/>
            </w:tcBorders>
            <w:shd w:val="clear" w:color="auto" w:fill="auto"/>
            <w:noWrap/>
            <w:vAlign w:val="center"/>
            <w:hideMark/>
          </w:tcPr>
          <w:p w14:paraId="3435CFF9" w14:textId="4D2E169F"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100.242.318</w:t>
            </w:r>
          </w:p>
        </w:tc>
        <w:tc>
          <w:tcPr>
            <w:tcW w:w="1336" w:type="dxa"/>
            <w:tcBorders>
              <w:top w:val="nil"/>
              <w:left w:val="nil"/>
              <w:bottom w:val="nil"/>
              <w:right w:val="nil"/>
            </w:tcBorders>
            <w:shd w:val="clear" w:color="auto" w:fill="auto"/>
            <w:noWrap/>
            <w:vAlign w:val="center"/>
          </w:tcPr>
          <w:p w14:paraId="0F78526F" w14:textId="4F2C15FE" w:rsidR="0059568C" w:rsidRPr="0059568C" w:rsidRDefault="00A50BA6" w:rsidP="004A6C54">
            <w:pPr>
              <w:jc w:val="right"/>
              <w:rPr>
                <w:rFonts w:eastAsia="Times New Roman" w:cs="Calibri"/>
                <w:b/>
                <w:bCs/>
                <w:color w:val="333D6B"/>
                <w:sz w:val="18"/>
                <w:szCs w:val="18"/>
                <w:lang w:eastAsia="es-CL"/>
              </w:rPr>
            </w:pPr>
            <w:r w:rsidRPr="00A50BA6">
              <w:rPr>
                <w:rFonts w:eastAsia="Times New Roman" w:cs="Calibri"/>
                <w:b/>
                <w:bCs/>
                <w:color w:val="333D6B"/>
                <w:sz w:val="18"/>
                <w:szCs w:val="18"/>
                <w:lang w:eastAsia="es-CL"/>
              </w:rPr>
              <w:t>157.558.762</w:t>
            </w:r>
          </w:p>
        </w:tc>
      </w:tr>
      <w:tr w:rsidR="0059568C" w:rsidRPr="0059568C" w14:paraId="137474C3" w14:textId="77777777" w:rsidTr="002A6755">
        <w:trPr>
          <w:trHeight w:val="305"/>
        </w:trPr>
        <w:tc>
          <w:tcPr>
            <w:tcW w:w="2801" w:type="dxa"/>
            <w:tcBorders>
              <w:top w:val="nil"/>
              <w:left w:val="nil"/>
              <w:bottom w:val="nil"/>
              <w:right w:val="nil"/>
            </w:tcBorders>
            <w:shd w:val="clear" w:color="000000" w:fill="BB1823"/>
            <w:noWrap/>
            <w:vAlign w:val="center"/>
            <w:hideMark/>
          </w:tcPr>
          <w:p w14:paraId="7A08EF65" w14:textId="1986DE8E" w:rsidR="0059568C" w:rsidRPr="0059568C" w:rsidRDefault="0059568C" w:rsidP="0059568C">
            <w:pPr>
              <w:rPr>
                <w:rFonts w:eastAsia="Times New Roman" w:cs="Calibri"/>
                <w:b/>
                <w:bCs/>
                <w:color w:val="FFFFFF"/>
                <w:sz w:val="18"/>
                <w:szCs w:val="18"/>
                <w:lang w:eastAsia="es-CL"/>
              </w:rPr>
            </w:pPr>
            <w:r w:rsidRPr="0059568C">
              <w:rPr>
                <w:rFonts w:eastAsia="Times New Roman" w:cs="Calibri"/>
                <w:b/>
                <w:bCs/>
                <w:color w:val="FFFFFF"/>
                <w:sz w:val="18"/>
                <w:szCs w:val="18"/>
                <w:lang w:eastAsia="es-CL"/>
              </w:rPr>
              <w:t xml:space="preserve">Pasivos </w:t>
            </w:r>
            <w:r w:rsidR="004A6C54">
              <w:rPr>
                <w:rFonts w:eastAsia="Times New Roman" w:cs="Calibri"/>
                <w:b/>
                <w:bCs/>
                <w:color w:val="FFFFFF"/>
                <w:sz w:val="18"/>
                <w:szCs w:val="18"/>
                <w:lang w:eastAsia="es-CL"/>
              </w:rPr>
              <w:t>c</w:t>
            </w:r>
            <w:r w:rsidRPr="0059568C">
              <w:rPr>
                <w:rFonts w:eastAsia="Times New Roman" w:cs="Calibri"/>
                <w:b/>
                <w:bCs/>
                <w:color w:val="FFFFFF"/>
                <w:sz w:val="18"/>
                <w:szCs w:val="18"/>
                <w:lang w:eastAsia="es-CL"/>
              </w:rPr>
              <w:t>orrientes</w:t>
            </w:r>
          </w:p>
        </w:tc>
        <w:tc>
          <w:tcPr>
            <w:tcW w:w="1290" w:type="dxa"/>
            <w:tcBorders>
              <w:top w:val="nil"/>
              <w:left w:val="nil"/>
              <w:bottom w:val="nil"/>
              <w:right w:val="nil"/>
            </w:tcBorders>
            <w:shd w:val="clear" w:color="auto" w:fill="auto"/>
            <w:noWrap/>
            <w:vAlign w:val="center"/>
            <w:hideMark/>
          </w:tcPr>
          <w:p w14:paraId="43D500AF" w14:textId="7A3B22B9"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29.604.370</w:t>
            </w:r>
          </w:p>
        </w:tc>
        <w:tc>
          <w:tcPr>
            <w:tcW w:w="1328" w:type="dxa"/>
            <w:tcBorders>
              <w:top w:val="nil"/>
              <w:left w:val="nil"/>
              <w:bottom w:val="nil"/>
              <w:right w:val="nil"/>
            </w:tcBorders>
            <w:shd w:val="clear" w:color="auto" w:fill="auto"/>
            <w:noWrap/>
            <w:vAlign w:val="center"/>
            <w:hideMark/>
          </w:tcPr>
          <w:p w14:paraId="5D881150" w14:textId="7FE037C0"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31.742.052</w:t>
            </w:r>
          </w:p>
        </w:tc>
        <w:tc>
          <w:tcPr>
            <w:tcW w:w="1413" w:type="dxa"/>
            <w:tcBorders>
              <w:top w:val="nil"/>
              <w:left w:val="nil"/>
              <w:bottom w:val="nil"/>
              <w:right w:val="nil"/>
            </w:tcBorders>
            <w:shd w:val="clear" w:color="auto" w:fill="auto"/>
            <w:noWrap/>
            <w:vAlign w:val="center"/>
            <w:hideMark/>
          </w:tcPr>
          <w:p w14:paraId="480D1ECD" w14:textId="26AF320A"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32.994.322</w:t>
            </w:r>
          </w:p>
        </w:tc>
        <w:tc>
          <w:tcPr>
            <w:tcW w:w="1469" w:type="dxa"/>
            <w:tcBorders>
              <w:top w:val="nil"/>
              <w:left w:val="nil"/>
              <w:bottom w:val="nil"/>
              <w:right w:val="nil"/>
            </w:tcBorders>
            <w:shd w:val="clear" w:color="auto" w:fill="auto"/>
            <w:noWrap/>
            <w:vAlign w:val="center"/>
            <w:hideMark/>
          </w:tcPr>
          <w:p w14:paraId="3A63782A" w14:textId="14573DE7"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41.393.873</w:t>
            </w:r>
          </w:p>
        </w:tc>
        <w:tc>
          <w:tcPr>
            <w:tcW w:w="1431" w:type="dxa"/>
            <w:tcBorders>
              <w:top w:val="nil"/>
              <w:left w:val="nil"/>
              <w:bottom w:val="nil"/>
              <w:right w:val="nil"/>
            </w:tcBorders>
            <w:shd w:val="clear" w:color="auto" w:fill="auto"/>
            <w:noWrap/>
            <w:vAlign w:val="center"/>
            <w:hideMark/>
          </w:tcPr>
          <w:p w14:paraId="1505A6FF" w14:textId="64D1A6C0"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46.595.320</w:t>
            </w:r>
          </w:p>
        </w:tc>
        <w:tc>
          <w:tcPr>
            <w:tcW w:w="1336" w:type="dxa"/>
            <w:tcBorders>
              <w:top w:val="nil"/>
              <w:left w:val="nil"/>
              <w:bottom w:val="nil"/>
              <w:right w:val="nil"/>
            </w:tcBorders>
            <w:shd w:val="clear" w:color="auto" w:fill="auto"/>
            <w:noWrap/>
            <w:vAlign w:val="center"/>
          </w:tcPr>
          <w:p w14:paraId="14E43FE8" w14:textId="421AC114" w:rsidR="0059568C" w:rsidRPr="0059568C" w:rsidRDefault="00A73BF8" w:rsidP="004A6C54">
            <w:pPr>
              <w:jc w:val="right"/>
              <w:rPr>
                <w:rFonts w:eastAsia="Times New Roman" w:cs="Calibri"/>
                <w:color w:val="333D6B"/>
                <w:sz w:val="18"/>
                <w:szCs w:val="18"/>
                <w:lang w:eastAsia="es-CL"/>
              </w:rPr>
            </w:pPr>
            <w:r w:rsidRPr="00A73BF8">
              <w:rPr>
                <w:rFonts w:eastAsia="Times New Roman" w:cs="Calibri"/>
                <w:color w:val="333D6B"/>
                <w:sz w:val="18"/>
                <w:szCs w:val="18"/>
                <w:lang w:eastAsia="es-CL"/>
              </w:rPr>
              <w:t>70.729.093</w:t>
            </w:r>
          </w:p>
        </w:tc>
      </w:tr>
      <w:tr w:rsidR="0059568C" w:rsidRPr="0059568C" w14:paraId="72162BD9" w14:textId="77777777" w:rsidTr="002A6755">
        <w:trPr>
          <w:trHeight w:val="305"/>
        </w:trPr>
        <w:tc>
          <w:tcPr>
            <w:tcW w:w="2801" w:type="dxa"/>
            <w:tcBorders>
              <w:top w:val="nil"/>
              <w:left w:val="nil"/>
              <w:bottom w:val="nil"/>
              <w:right w:val="nil"/>
            </w:tcBorders>
            <w:shd w:val="clear" w:color="000000" w:fill="BB1823"/>
            <w:noWrap/>
            <w:vAlign w:val="center"/>
            <w:hideMark/>
          </w:tcPr>
          <w:p w14:paraId="75B00945" w14:textId="300264F3" w:rsidR="0059568C" w:rsidRPr="0059568C" w:rsidRDefault="0059568C" w:rsidP="0059568C">
            <w:pPr>
              <w:rPr>
                <w:rFonts w:eastAsia="Times New Roman" w:cs="Calibri"/>
                <w:b/>
                <w:bCs/>
                <w:color w:val="FFFFFF"/>
                <w:sz w:val="18"/>
                <w:szCs w:val="18"/>
                <w:lang w:eastAsia="es-CL"/>
              </w:rPr>
            </w:pPr>
            <w:r w:rsidRPr="0059568C">
              <w:rPr>
                <w:rFonts w:eastAsia="Times New Roman" w:cs="Calibri"/>
                <w:b/>
                <w:bCs/>
                <w:color w:val="FFFFFF"/>
                <w:sz w:val="18"/>
                <w:szCs w:val="18"/>
                <w:lang w:eastAsia="es-CL"/>
              </w:rPr>
              <w:t xml:space="preserve">Pasivos </w:t>
            </w:r>
            <w:r w:rsidR="004A6C54">
              <w:rPr>
                <w:rFonts w:eastAsia="Times New Roman" w:cs="Calibri"/>
                <w:b/>
                <w:bCs/>
                <w:color w:val="FFFFFF"/>
                <w:sz w:val="18"/>
                <w:szCs w:val="18"/>
                <w:lang w:eastAsia="es-CL"/>
              </w:rPr>
              <w:t>n</w:t>
            </w:r>
            <w:r w:rsidRPr="0059568C">
              <w:rPr>
                <w:rFonts w:eastAsia="Times New Roman" w:cs="Calibri"/>
                <w:b/>
                <w:bCs/>
                <w:color w:val="FFFFFF"/>
                <w:sz w:val="18"/>
                <w:szCs w:val="18"/>
                <w:lang w:eastAsia="es-CL"/>
              </w:rPr>
              <w:t xml:space="preserve">o </w:t>
            </w:r>
            <w:r w:rsidR="004A6C54">
              <w:rPr>
                <w:rFonts w:eastAsia="Times New Roman" w:cs="Calibri"/>
                <w:b/>
                <w:bCs/>
                <w:color w:val="FFFFFF"/>
                <w:sz w:val="18"/>
                <w:szCs w:val="18"/>
                <w:lang w:eastAsia="es-CL"/>
              </w:rPr>
              <w:t>c</w:t>
            </w:r>
            <w:r w:rsidRPr="0059568C">
              <w:rPr>
                <w:rFonts w:eastAsia="Times New Roman" w:cs="Calibri"/>
                <w:b/>
                <w:bCs/>
                <w:color w:val="FFFFFF"/>
                <w:sz w:val="18"/>
                <w:szCs w:val="18"/>
                <w:lang w:eastAsia="es-CL"/>
              </w:rPr>
              <w:t>orrientes</w:t>
            </w:r>
          </w:p>
        </w:tc>
        <w:tc>
          <w:tcPr>
            <w:tcW w:w="1290" w:type="dxa"/>
            <w:tcBorders>
              <w:top w:val="nil"/>
              <w:left w:val="nil"/>
              <w:bottom w:val="nil"/>
              <w:right w:val="nil"/>
            </w:tcBorders>
            <w:shd w:val="clear" w:color="auto" w:fill="auto"/>
            <w:noWrap/>
            <w:vAlign w:val="center"/>
            <w:hideMark/>
          </w:tcPr>
          <w:p w14:paraId="7D609140" w14:textId="78C4F810"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2.276.721</w:t>
            </w:r>
          </w:p>
        </w:tc>
        <w:tc>
          <w:tcPr>
            <w:tcW w:w="1328" w:type="dxa"/>
            <w:tcBorders>
              <w:top w:val="nil"/>
              <w:left w:val="nil"/>
              <w:bottom w:val="nil"/>
              <w:right w:val="nil"/>
            </w:tcBorders>
            <w:shd w:val="clear" w:color="auto" w:fill="auto"/>
            <w:noWrap/>
            <w:vAlign w:val="center"/>
            <w:hideMark/>
          </w:tcPr>
          <w:p w14:paraId="7CB147BF" w14:textId="7F4308B7"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1.171.296</w:t>
            </w:r>
          </w:p>
        </w:tc>
        <w:tc>
          <w:tcPr>
            <w:tcW w:w="1413" w:type="dxa"/>
            <w:tcBorders>
              <w:top w:val="nil"/>
              <w:left w:val="nil"/>
              <w:bottom w:val="nil"/>
              <w:right w:val="nil"/>
            </w:tcBorders>
            <w:shd w:val="clear" w:color="auto" w:fill="auto"/>
            <w:noWrap/>
            <w:vAlign w:val="center"/>
            <w:hideMark/>
          </w:tcPr>
          <w:p w14:paraId="381A6233" w14:textId="59702F02"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1.899.476</w:t>
            </w:r>
          </w:p>
        </w:tc>
        <w:tc>
          <w:tcPr>
            <w:tcW w:w="1469" w:type="dxa"/>
            <w:tcBorders>
              <w:top w:val="nil"/>
              <w:left w:val="nil"/>
              <w:bottom w:val="nil"/>
              <w:right w:val="nil"/>
            </w:tcBorders>
            <w:shd w:val="clear" w:color="auto" w:fill="auto"/>
            <w:noWrap/>
            <w:vAlign w:val="center"/>
            <w:hideMark/>
          </w:tcPr>
          <w:p w14:paraId="67360316" w14:textId="7F805F67"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34.676.660</w:t>
            </w:r>
          </w:p>
        </w:tc>
        <w:tc>
          <w:tcPr>
            <w:tcW w:w="1431" w:type="dxa"/>
            <w:tcBorders>
              <w:top w:val="nil"/>
              <w:left w:val="nil"/>
              <w:bottom w:val="nil"/>
              <w:right w:val="nil"/>
            </w:tcBorders>
            <w:shd w:val="clear" w:color="auto" w:fill="auto"/>
            <w:noWrap/>
            <w:vAlign w:val="center"/>
            <w:hideMark/>
          </w:tcPr>
          <w:p w14:paraId="1E21448D" w14:textId="720B5679"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34.115.286</w:t>
            </w:r>
          </w:p>
        </w:tc>
        <w:tc>
          <w:tcPr>
            <w:tcW w:w="1336" w:type="dxa"/>
            <w:tcBorders>
              <w:top w:val="nil"/>
              <w:left w:val="nil"/>
              <w:bottom w:val="nil"/>
              <w:right w:val="nil"/>
            </w:tcBorders>
            <w:shd w:val="clear" w:color="auto" w:fill="auto"/>
            <w:noWrap/>
            <w:vAlign w:val="center"/>
          </w:tcPr>
          <w:p w14:paraId="7D4F9BBA" w14:textId="54E8E6A3" w:rsidR="0059568C" w:rsidRPr="0059568C" w:rsidRDefault="008F50AB" w:rsidP="004A6C54">
            <w:pPr>
              <w:jc w:val="right"/>
              <w:rPr>
                <w:rFonts w:eastAsia="Times New Roman" w:cs="Calibri"/>
                <w:color w:val="333D6B"/>
                <w:sz w:val="18"/>
                <w:szCs w:val="18"/>
                <w:lang w:eastAsia="es-CL"/>
              </w:rPr>
            </w:pPr>
            <w:r w:rsidRPr="008F50AB">
              <w:rPr>
                <w:rFonts w:eastAsia="Times New Roman" w:cs="Calibri"/>
                <w:color w:val="333D6B"/>
                <w:sz w:val="18"/>
                <w:szCs w:val="18"/>
                <w:lang w:eastAsia="es-CL"/>
              </w:rPr>
              <w:t>56.165.999</w:t>
            </w:r>
          </w:p>
        </w:tc>
      </w:tr>
      <w:tr w:rsidR="0059568C" w:rsidRPr="0059568C" w14:paraId="6738FCFC" w14:textId="77777777" w:rsidTr="002A6755">
        <w:trPr>
          <w:trHeight w:val="305"/>
        </w:trPr>
        <w:tc>
          <w:tcPr>
            <w:tcW w:w="2801" w:type="dxa"/>
            <w:tcBorders>
              <w:top w:val="nil"/>
              <w:left w:val="nil"/>
              <w:bottom w:val="nil"/>
              <w:right w:val="nil"/>
            </w:tcBorders>
            <w:shd w:val="clear" w:color="000000" w:fill="BB1823"/>
            <w:noWrap/>
            <w:vAlign w:val="center"/>
            <w:hideMark/>
          </w:tcPr>
          <w:p w14:paraId="579D18A5" w14:textId="5E0B6556" w:rsidR="0059568C" w:rsidRPr="0059568C" w:rsidRDefault="0059568C" w:rsidP="0059568C">
            <w:pPr>
              <w:rPr>
                <w:rFonts w:eastAsia="Times New Roman" w:cs="Calibri"/>
                <w:b/>
                <w:bCs/>
                <w:color w:val="FFFFFF"/>
                <w:sz w:val="18"/>
                <w:szCs w:val="18"/>
                <w:lang w:eastAsia="es-CL"/>
              </w:rPr>
            </w:pPr>
            <w:proofErr w:type="gramStart"/>
            <w:r w:rsidRPr="0059568C">
              <w:rPr>
                <w:rFonts w:eastAsia="Times New Roman" w:cs="Calibri"/>
                <w:b/>
                <w:bCs/>
                <w:color w:val="FFFFFF"/>
                <w:sz w:val="18"/>
                <w:szCs w:val="18"/>
                <w:lang w:eastAsia="es-CL"/>
              </w:rPr>
              <w:t>Total</w:t>
            </w:r>
            <w:proofErr w:type="gramEnd"/>
            <w:r w:rsidRPr="0059568C">
              <w:rPr>
                <w:rFonts w:eastAsia="Times New Roman" w:cs="Calibri"/>
                <w:b/>
                <w:bCs/>
                <w:color w:val="FFFFFF"/>
                <w:sz w:val="18"/>
                <w:szCs w:val="18"/>
                <w:lang w:eastAsia="es-CL"/>
              </w:rPr>
              <w:t xml:space="preserve"> de </w:t>
            </w:r>
            <w:r w:rsidR="004A6C54">
              <w:rPr>
                <w:rFonts w:eastAsia="Times New Roman" w:cs="Calibri"/>
                <w:b/>
                <w:bCs/>
                <w:color w:val="FFFFFF"/>
                <w:sz w:val="18"/>
                <w:szCs w:val="18"/>
                <w:lang w:eastAsia="es-CL"/>
              </w:rPr>
              <w:t>p</w:t>
            </w:r>
            <w:r w:rsidRPr="0059568C">
              <w:rPr>
                <w:rFonts w:eastAsia="Times New Roman" w:cs="Calibri"/>
                <w:b/>
                <w:bCs/>
                <w:color w:val="FFFFFF"/>
                <w:sz w:val="18"/>
                <w:szCs w:val="18"/>
                <w:lang w:eastAsia="es-CL"/>
              </w:rPr>
              <w:t>asivo</w:t>
            </w:r>
          </w:p>
        </w:tc>
        <w:tc>
          <w:tcPr>
            <w:tcW w:w="1290" w:type="dxa"/>
            <w:tcBorders>
              <w:top w:val="nil"/>
              <w:left w:val="nil"/>
              <w:bottom w:val="nil"/>
              <w:right w:val="nil"/>
            </w:tcBorders>
            <w:shd w:val="clear" w:color="auto" w:fill="auto"/>
            <w:noWrap/>
            <w:vAlign w:val="center"/>
            <w:hideMark/>
          </w:tcPr>
          <w:p w14:paraId="40C752AD" w14:textId="381E813E"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31.881.091</w:t>
            </w:r>
          </w:p>
        </w:tc>
        <w:tc>
          <w:tcPr>
            <w:tcW w:w="1328" w:type="dxa"/>
            <w:tcBorders>
              <w:top w:val="nil"/>
              <w:left w:val="nil"/>
              <w:bottom w:val="nil"/>
              <w:right w:val="nil"/>
            </w:tcBorders>
            <w:shd w:val="clear" w:color="auto" w:fill="auto"/>
            <w:noWrap/>
            <w:vAlign w:val="center"/>
            <w:hideMark/>
          </w:tcPr>
          <w:p w14:paraId="39BB7D6E" w14:textId="0CF39DE3"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32.913.348</w:t>
            </w:r>
          </w:p>
        </w:tc>
        <w:tc>
          <w:tcPr>
            <w:tcW w:w="1413" w:type="dxa"/>
            <w:tcBorders>
              <w:top w:val="nil"/>
              <w:left w:val="nil"/>
              <w:bottom w:val="nil"/>
              <w:right w:val="nil"/>
            </w:tcBorders>
            <w:shd w:val="clear" w:color="auto" w:fill="auto"/>
            <w:noWrap/>
            <w:vAlign w:val="center"/>
            <w:hideMark/>
          </w:tcPr>
          <w:p w14:paraId="68C7C2D8" w14:textId="1409C926"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34.893.798</w:t>
            </w:r>
          </w:p>
        </w:tc>
        <w:tc>
          <w:tcPr>
            <w:tcW w:w="1469" w:type="dxa"/>
            <w:tcBorders>
              <w:top w:val="nil"/>
              <w:left w:val="nil"/>
              <w:bottom w:val="nil"/>
              <w:right w:val="nil"/>
            </w:tcBorders>
            <w:shd w:val="clear" w:color="auto" w:fill="auto"/>
            <w:noWrap/>
            <w:vAlign w:val="center"/>
            <w:hideMark/>
          </w:tcPr>
          <w:p w14:paraId="528AC929" w14:textId="1781E1B6"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76.070.533</w:t>
            </w:r>
          </w:p>
        </w:tc>
        <w:tc>
          <w:tcPr>
            <w:tcW w:w="1431" w:type="dxa"/>
            <w:tcBorders>
              <w:top w:val="nil"/>
              <w:left w:val="nil"/>
              <w:bottom w:val="nil"/>
              <w:right w:val="nil"/>
            </w:tcBorders>
            <w:shd w:val="clear" w:color="auto" w:fill="auto"/>
            <w:noWrap/>
            <w:vAlign w:val="center"/>
            <w:hideMark/>
          </w:tcPr>
          <w:p w14:paraId="31540AEE" w14:textId="1FEC28ED"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80.710.606</w:t>
            </w:r>
          </w:p>
        </w:tc>
        <w:tc>
          <w:tcPr>
            <w:tcW w:w="1336" w:type="dxa"/>
            <w:tcBorders>
              <w:top w:val="nil"/>
              <w:left w:val="nil"/>
              <w:bottom w:val="nil"/>
              <w:right w:val="nil"/>
            </w:tcBorders>
            <w:shd w:val="clear" w:color="auto" w:fill="auto"/>
            <w:noWrap/>
            <w:vAlign w:val="center"/>
          </w:tcPr>
          <w:p w14:paraId="0034088F" w14:textId="7D049531" w:rsidR="0059568C" w:rsidRPr="0059568C" w:rsidRDefault="008F50AB" w:rsidP="004A6C54">
            <w:pPr>
              <w:jc w:val="right"/>
              <w:rPr>
                <w:rFonts w:eastAsia="Times New Roman" w:cs="Calibri"/>
                <w:b/>
                <w:bCs/>
                <w:color w:val="333D6B"/>
                <w:sz w:val="18"/>
                <w:szCs w:val="18"/>
                <w:lang w:eastAsia="es-CL"/>
              </w:rPr>
            </w:pPr>
            <w:r w:rsidRPr="008F50AB">
              <w:rPr>
                <w:rFonts w:eastAsia="Times New Roman" w:cs="Calibri"/>
                <w:b/>
                <w:bCs/>
                <w:color w:val="333D6B"/>
                <w:sz w:val="18"/>
                <w:szCs w:val="18"/>
                <w:lang w:eastAsia="es-CL"/>
              </w:rPr>
              <w:t>126.895.092</w:t>
            </w:r>
          </w:p>
        </w:tc>
      </w:tr>
      <w:tr w:rsidR="0059568C" w:rsidRPr="0059568C" w14:paraId="7618A510" w14:textId="77777777" w:rsidTr="002A6755">
        <w:trPr>
          <w:trHeight w:val="305"/>
        </w:trPr>
        <w:tc>
          <w:tcPr>
            <w:tcW w:w="2801" w:type="dxa"/>
            <w:tcBorders>
              <w:top w:val="nil"/>
              <w:left w:val="nil"/>
              <w:bottom w:val="nil"/>
              <w:right w:val="nil"/>
            </w:tcBorders>
            <w:shd w:val="clear" w:color="000000" w:fill="BB1823"/>
            <w:noWrap/>
            <w:vAlign w:val="center"/>
            <w:hideMark/>
          </w:tcPr>
          <w:p w14:paraId="104E41BE" w14:textId="62B87941" w:rsidR="0059568C" w:rsidRPr="0059568C" w:rsidRDefault="0059568C" w:rsidP="0059568C">
            <w:pPr>
              <w:rPr>
                <w:rFonts w:eastAsia="Times New Roman" w:cs="Calibri"/>
                <w:b/>
                <w:bCs/>
                <w:color w:val="FFFFFF"/>
                <w:sz w:val="18"/>
                <w:szCs w:val="18"/>
                <w:lang w:eastAsia="es-CL"/>
              </w:rPr>
            </w:pPr>
            <w:r w:rsidRPr="0059568C">
              <w:rPr>
                <w:rFonts w:eastAsia="Times New Roman" w:cs="Calibri"/>
                <w:b/>
                <w:bCs/>
                <w:color w:val="FFFFFF"/>
                <w:sz w:val="18"/>
                <w:szCs w:val="18"/>
                <w:lang w:eastAsia="es-CL"/>
              </w:rPr>
              <w:t xml:space="preserve">Patrimonio </w:t>
            </w:r>
            <w:r w:rsidR="004A6C54">
              <w:rPr>
                <w:rFonts w:eastAsia="Times New Roman" w:cs="Calibri"/>
                <w:b/>
                <w:bCs/>
                <w:color w:val="FFFFFF"/>
                <w:sz w:val="18"/>
                <w:szCs w:val="18"/>
                <w:lang w:eastAsia="es-CL"/>
              </w:rPr>
              <w:t>t</w:t>
            </w:r>
            <w:r w:rsidRPr="0059568C">
              <w:rPr>
                <w:rFonts w:eastAsia="Times New Roman" w:cs="Calibri"/>
                <w:b/>
                <w:bCs/>
                <w:color w:val="FFFFFF"/>
                <w:sz w:val="18"/>
                <w:szCs w:val="18"/>
                <w:lang w:eastAsia="es-CL"/>
              </w:rPr>
              <w:t>otal</w:t>
            </w:r>
          </w:p>
        </w:tc>
        <w:tc>
          <w:tcPr>
            <w:tcW w:w="1290" w:type="dxa"/>
            <w:tcBorders>
              <w:top w:val="nil"/>
              <w:left w:val="nil"/>
              <w:bottom w:val="nil"/>
              <w:right w:val="nil"/>
            </w:tcBorders>
            <w:shd w:val="clear" w:color="auto" w:fill="auto"/>
            <w:noWrap/>
            <w:vAlign w:val="center"/>
            <w:hideMark/>
          </w:tcPr>
          <w:p w14:paraId="253CD0FE" w14:textId="63357A06"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19.167.100</w:t>
            </w:r>
          </w:p>
        </w:tc>
        <w:tc>
          <w:tcPr>
            <w:tcW w:w="1328" w:type="dxa"/>
            <w:tcBorders>
              <w:top w:val="nil"/>
              <w:left w:val="nil"/>
              <w:bottom w:val="nil"/>
              <w:right w:val="nil"/>
            </w:tcBorders>
            <w:shd w:val="clear" w:color="auto" w:fill="auto"/>
            <w:noWrap/>
            <w:vAlign w:val="center"/>
            <w:hideMark/>
          </w:tcPr>
          <w:p w14:paraId="292A783E" w14:textId="612D8962"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19.656.570</w:t>
            </w:r>
          </w:p>
        </w:tc>
        <w:tc>
          <w:tcPr>
            <w:tcW w:w="1413" w:type="dxa"/>
            <w:tcBorders>
              <w:top w:val="nil"/>
              <w:left w:val="nil"/>
              <w:bottom w:val="nil"/>
              <w:right w:val="nil"/>
            </w:tcBorders>
            <w:shd w:val="clear" w:color="auto" w:fill="auto"/>
            <w:noWrap/>
            <w:vAlign w:val="center"/>
            <w:hideMark/>
          </w:tcPr>
          <w:p w14:paraId="5D539F70" w14:textId="2C0F5A16"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20.065.383</w:t>
            </w:r>
          </w:p>
        </w:tc>
        <w:tc>
          <w:tcPr>
            <w:tcW w:w="1469" w:type="dxa"/>
            <w:tcBorders>
              <w:top w:val="nil"/>
              <w:left w:val="nil"/>
              <w:bottom w:val="nil"/>
              <w:right w:val="nil"/>
            </w:tcBorders>
            <w:shd w:val="clear" w:color="auto" w:fill="auto"/>
            <w:noWrap/>
            <w:vAlign w:val="center"/>
            <w:hideMark/>
          </w:tcPr>
          <w:p w14:paraId="6C187F60" w14:textId="67C5E688"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19.449.682</w:t>
            </w:r>
          </w:p>
        </w:tc>
        <w:tc>
          <w:tcPr>
            <w:tcW w:w="1431" w:type="dxa"/>
            <w:tcBorders>
              <w:top w:val="nil"/>
              <w:left w:val="nil"/>
              <w:bottom w:val="nil"/>
              <w:right w:val="nil"/>
            </w:tcBorders>
            <w:shd w:val="clear" w:color="auto" w:fill="auto"/>
            <w:noWrap/>
            <w:vAlign w:val="center"/>
            <w:hideMark/>
          </w:tcPr>
          <w:p w14:paraId="02DB711A" w14:textId="19F6C40E"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19.531.712</w:t>
            </w:r>
          </w:p>
        </w:tc>
        <w:tc>
          <w:tcPr>
            <w:tcW w:w="1336" w:type="dxa"/>
            <w:tcBorders>
              <w:top w:val="nil"/>
              <w:left w:val="nil"/>
              <w:bottom w:val="nil"/>
              <w:right w:val="nil"/>
            </w:tcBorders>
            <w:shd w:val="clear" w:color="auto" w:fill="auto"/>
            <w:noWrap/>
            <w:vAlign w:val="center"/>
          </w:tcPr>
          <w:p w14:paraId="378EA339" w14:textId="1DABE4AB" w:rsidR="0059568C" w:rsidRPr="0059568C" w:rsidRDefault="008F50AB" w:rsidP="004A6C54">
            <w:pPr>
              <w:jc w:val="right"/>
              <w:rPr>
                <w:rFonts w:eastAsia="Times New Roman" w:cs="Calibri"/>
                <w:color w:val="333D6B"/>
                <w:sz w:val="18"/>
                <w:szCs w:val="18"/>
                <w:lang w:eastAsia="es-CL"/>
              </w:rPr>
            </w:pPr>
            <w:r w:rsidRPr="008F50AB">
              <w:rPr>
                <w:rFonts w:eastAsia="Times New Roman" w:cs="Calibri"/>
                <w:color w:val="333D6B"/>
                <w:sz w:val="18"/>
                <w:szCs w:val="18"/>
                <w:lang w:eastAsia="es-CL"/>
              </w:rPr>
              <w:t>30.663.670</w:t>
            </w:r>
          </w:p>
        </w:tc>
      </w:tr>
      <w:tr w:rsidR="0059568C" w:rsidRPr="0059568C" w14:paraId="18511757" w14:textId="77777777" w:rsidTr="002A6755">
        <w:trPr>
          <w:trHeight w:val="305"/>
        </w:trPr>
        <w:tc>
          <w:tcPr>
            <w:tcW w:w="2801" w:type="dxa"/>
            <w:tcBorders>
              <w:top w:val="nil"/>
              <w:left w:val="nil"/>
              <w:bottom w:val="nil"/>
              <w:right w:val="nil"/>
            </w:tcBorders>
            <w:shd w:val="clear" w:color="000000" w:fill="BB1823"/>
            <w:noWrap/>
            <w:vAlign w:val="center"/>
            <w:hideMark/>
          </w:tcPr>
          <w:p w14:paraId="2A81421D" w14:textId="77B51D25" w:rsidR="0059568C" w:rsidRPr="0059568C" w:rsidRDefault="0059568C" w:rsidP="0059568C">
            <w:pPr>
              <w:rPr>
                <w:rFonts w:eastAsia="Times New Roman" w:cs="Calibri"/>
                <w:b/>
                <w:bCs/>
                <w:color w:val="FFFFFF"/>
                <w:sz w:val="18"/>
                <w:szCs w:val="18"/>
                <w:lang w:eastAsia="es-CL"/>
              </w:rPr>
            </w:pPr>
            <w:proofErr w:type="gramStart"/>
            <w:r w:rsidRPr="0059568C">
              <w:rPr>
                <w:rFonts w:eastAsia="Times New Roman" w:cs="Calibri"/>
                <w:b/>
                <w:bCs/>
                <w:color w:val="FFFFFF"/>
                <w:sz w:val="18"/>
                <w:szCs w:val="18"/>
                <w:lang w:eastAsia="es-CL"/>
              </w:rPr>
              <w:t>Total</w:t>
            </w:r>
            <w:proofErr w:type="gramEnd"/>
            <w:r w:rsidRPr="0059568C">
              <w:rPr>
                <w:rFonts w:eastAsia="Times New Roman" w:cs="Calibri"/>
                <w:b/>
                <w:bCs/>
                <w:color w:val="FFFFFF"/>
                <w:sz w:val="18"/>
                <w:szCs w:val="18"/>
                <w:lang w:eastAsia="es-CL"/>
              </w:rPr>
              <w:t xml:space="preserve"> de </w:t>
            </w:r>
            <w:r w:rsidR="004A6C54">
              <w:rPr>
                <w:rFonts w:eastAsia="Times New Roman" w:cs="Calibri"/>
                <w:b/>
                <w:bCs/>
                <w:color w:val="FFFFFF"/>
                <w:sz w:val="18"/>
                <w:szCs w:val="18"/>
                <w:lang w:eastAsia="es-CL"/>
              </w:rPr>
              <w:t>p</w:t>
            </w:r>
            <w:r w:rsidRPr="0059568C">
              <w:rPr>
                <w:rFonts w:eastAsia="Times New Roman" w:cs="Calibri"/>
                <w:b/>
                <w:bCs/>
                <w:color w:val="FFFFFF"/>
                <w:sz w:val="18"/>
                <w:szCs w:val="18"/>
                <w:lang w:eastAsia="es-CL"/>
              </w:rPr>
              <w:t xml:space="preserve">asivos y </w:t>
            </w:r>
            <w:r w:rsidR="004A6C54">
              <w:rPr>
                <w:rFonts w:eastAsia="Times New Roman" w:cs="Calibri"/>
                <w:b/>
                <w:bCs/>
                <w:color w:val="FFFFFF"/>
                <w:sz w:val="18"/>
                <w:szCs w:val="18"/>
                <w:lang w:eastAsia="es-CL"/>
              </w:rPr>
              <w:t>p</w:t>
            </w:r>
            <w:r w:rsidRPr="0059568C">
              <w:rPr>
                <w:rFonts w:eastAsia="Times New Roman" w:cs="Calibri"/>
                <w:b/>
                <w:bCs/>
                <w:color w:val="FFFFFF"/>
                <w:sz w:val="18"/>
                <w:szCs w:val="18"/>
                <w:lang w:eastAsia="es-CL"/>
              </w:rPr>
              <w:t>atrimonio</w:t>
            </w:r>
          </w:p>
        </w:tc>
        <w:tc>
          <w:tcPr>
            <w:tcW w:w="1290" w:type="dxa"/>
            <w:tcBorders>
              <w:top w:val="nil"/>
              <w:left w:val="nil"/>
              <w:bottom w:val="nil"/>
              <w:right w:val="nil"/>
            </w:tcBorders>
            <w:shd w:val="clear" w:color="auto" w:fill="auto"/>
            <w:noWrap/>
            <w:vAlign w:val="center"/>
            <w:hideMark/>
          </w:tcPr>
          <w:p w14:paraId="3BD20A35" w14:textId="322BF591"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51.048.191</w:t>
            </w:r>
          </w:p>
        </w:tc>
        <w:tc>
          <w:tcPr>
            <w:tcW w:w="1328" w:type="dxa"/>
            <w:tcBorders>
              <w:top w:val="nil"/>
              <w:left w:val="nil"/>
              <w:bottom w:val="nil"/>
              <w:right w:val="nil"/>
            </w:tcBorders>
            <w:shd w:val="clear" w:color="auto" w:fill="auto"/>
            <w:noWrap/>
            <w:vAlign w:val="center"/>
            <w:hideMark/>
          </w:tcPr>
          <w:p w14:paraId="03DE6B86" w14:textId="3B352453"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52.569.918</w:t>
            </w:r>
          </w:p>
        </w:tc>
        <w:tc>
          <w:tcPr>
            <w:tcW w:w="1413" w:type="dxa"/>
            <w:tcBorders>
              <w:top w:val="nil"/>
              <w:left w:val="nil"/>
              <w:bottom w:val="nil"/>
              <w:right w:val="nil"/>
            </w:tcBorders>
            <w:shd w:val="clear" w:color="auto" w:fill="auto"/>
            <w:noWrap/>
            <w:vAlign w:val="center"/>
            <w:hideMark/>
          </w:tcPr>
          <w:p w14:paraId="06CFA61C" w14:textId="48C7C7F8"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54.959.181</w:t>
            </w:r>
          </w:p>
        </w:tc>
        <w:tc>
          <w:tcPr>
            <w:tcW w:w="1469" w:type="dxa"/>
            <w:tcBorders>
              <w:top w:val="nil"/>
              <w:left w:val="nil"/>
              <w:bottom w:val="nil"/>
              <w:right w:val="nil"/>
            </w:tcBorders>
            <w:shd w:val="clear" w:color="auto" w:fill="auto"/>
            <w:noWrap/>
            <w:vAlign w:val="center"/>
            <w:hideMark/>
          </w:tcPr>
          <w:p w14:paraId="67243D03" w14:textId="078DC1B1"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95.520.215</w:t>
            </w:r>
          </w:p>
        </w:tc>
        <w:tc>
          <w:tcPr>
            <w:tcW w:w="1431" w:type="dxa"/>
            <w:tcBorders>
              <w:top w:val="nil"/>
              <w:left w:val="nil"/>
              <w:bottom w:val="nil"/>
              <w:right w:val="nil"/>
            </w:tcBorders>
            <w:shd w:val="clear" w:color="auto" w:fill="auto"/>
            <w:noWrap/>
            <w:vAlign w:val="center"/>
            <w:hideMark/>
          </w:tcPr>
          <w:p w14:paraId="744588CF" w14:textId="6175CD45" w:rsidR="0059568C" w:rsidRPr="0059568C" w:rsidRDefault="0059568C" w:rsidP="004A6C54">
            <w:pPr>
              <w:jc w:val="right"/>
              <w:rPr>
                <w:rFonts w:eastAsia="Times New Roman" w:cs="Calibri"/>
                <w:b/>
                <w:bCs/>
                <w:color w:val="333D6B"/>
                <w:sz w:val="18"/>
                <w:szCs w:val="18"/>
                <w:lang w:eastAsia="es-CL"/>
              </w:rPr>
            </w:pPr>
            <w:r w:rsidRPr="0059568C">
              <w:rPr>
                <w:rFonts w:eastAsia="Times New Roman" w:cs="Calibri"/>
                <w:b/>
                <w:bCs/>
                <w:color w:val="333D6B"/>
                <w:sz w:val="18"/>
                <w:szCs w:val="18"/>
                <w:lang w:eastAsia="es-CL"/>
              </w:rPr>
              <w:t>100.242.318</w:t>
            </w:r>
          </w:p>
        </w:tc>
        <w:tc>
          <w:tcPr>
            <w:tcW w:w="1336" w:type="dxa"/>
            <w:tcBorders>
              <w:top w:val="nil"/>
              <w:left w:val="nil"/>
              <w:bottom w:val="nil"/>
              <w:right w:val="nil"/>
            </w:tcBorders>
            <w:shd w:val="clear" w:color="auto" w:fill="auto"/>
            <w:noWrap/>
            <w:vAlign w:val="center"/>
          </w:tcPr>
          <w:p w14:paraId="2A9E5C8B" w14:textId="5BC21E51" w:rsidR="0059568C" w:rsidRPr="0059568C" w:rsidRDefault="00BE6D50" w:rsidP="004A6C54">
            <w:pPr>
              <w:jc w:val="right"/>
              <w:rPr>
                <w:rFonts w:eastAsia="Times New Roman" w:cs="Calibri"/>
                <w:b/>
                <w:bCs/>
                <w:color w:val="333D6B"/>
                <w:sz w:val="18"/>
                <w:szCs w:val="18"/>
                <w:lang w:eastAsia="es-CL"/>
              </w:rPr>
            </w:pPr>
            <w:r w:rsidRPr="00BE6D50">
              <w:rPr>
                <w:rFonts w:eastAsia="Times New Roman" w:cs="Calibri"/>
                <w:b/>
                <w:bCs/>
                <w:color w:val="333D6B"/>
                <w:sz w:val="18"/>
                <w:szCs w:val="18"/>
                <w:lang w:eastAsia="es-CL"/>
              </w:rPr>
              <w:t>157.558.762</w:t>
            </w:r>
          </w:p>
        </w:tc>
      </w:tr>
      <w:tr w:rsidR="0059568C" w:rsidRPr="0059568C" w14:paraId="330D3F94" w14:textId="77777777" w:rsidTr="002A6755">
        <w:trPr>
          <w:trHeight w:val="305"/>
        </w:trPr>
        <w:tc>
          <w:tcPr>
            <w:tcW w:w="2801" w:type="dxa"/>
            <w:tcBorders>
              <w:top w:val="nil"/>
              <w:left w:val="nil"/>
              <w:bottom w:val="nil"/>
              <w:right w:val="nil"/>
            </w:tcBorders>
            <w:shd w:val="clear" w:color="000000" w:fill="BB1823"/>
            <w:noWrap/>
            <w:vAlign w:val="center"/>
            <w:hideMark/>
          </w:tcPr>
          <w:p w14:paraId="79F92C15" w14:textId="6C603F82" w:rsidR="0059568C" w:rsidRPr="0059568C" w:rsidRDefault="000179F4" w:rsidP="0059568C">
            <w:pPr>
              <w:rPr>
                <w:rFonts w:eastAsia="Times New Roman" w:cs="Calibri"/>
                <w:b/>
                <w:bCs/>
                <w:color w:val="FFFFFF"/>
                <w:sz w:val="18"/>
                <w:szCs w:val="18"/>
                <w:lang w:eastAsia="es-CL"/>
              </w:rPr>
            </w:pPr>
            <w:hyperlink r:id="rId15" w:anchor="'EEFF 2019'!A14" w:history="1">
              <w:r w:rsidR="0059568C" w:rsidRPr="0059568C">
                <w:rPr>
                  <w:rFonts w:eastAsia="Times New Roman" w:cs="Calibri"/>
                  <w:b/>
                  <w:bCs/>
                  <w:color w:val="FFFFFF"/>
                  <w:sz w:val="18"/>
                  <w:szCs w:val="18"/>
                  <w:lang w:eastAsia="es-CL"/>
                </w:rPr>
                <w:t>Deuda financiera</w:t>
              </w:r>
            </w:hyperlink>
            <w:r w:rsidR="006E5945">
              <w:rPr>
                <w:rStyle w:val="Refdenotaalpie"/>
                <w:rFonts w:eastAsia="Times New Roman" w:cs="Calibri"/>
                <w:b/>
                <w:bCs/>
                <w:color w:val="FFFFFF"/>
                <w:sz w:val="18"/>
                <w:szCs w:val="18"/>
                <w:lang w:eastAsia="es-CL"/>
              </w:rPr>
              <w:footnoteReference w:id="4"/>
            </w:r>
          </w:p>
        </w:tc>
        <w:tc>
          <w:tcPr>
            <w:tcW w:w="1290" w:type="dxa"/>
            <w:tcBorders>
              <w:top w:val="nil"/>
              <w:left w:val="nil"/>
              <w:bottom w:val="nil"/>
              <w:right w:val="nil"/>
            </w:tcBorders>
            <w:shd w:val="clear" w:color="auto" w:fill="auto"/>
            <w:noWrap/>
            <w:vAlign w:val="center"/>
            <w:hideMark/>
          </w:tcPr>
          <w:p w14:paraId="671D2CC5" w14:textId="09EE4045"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22.238.073</w:t>
            </w:r>
          </w:p>
        </w:tc>
        <w:tc>
          <w:tcPr>
            <w:tcW w:w="1328" w:type="dxa"/>
            <w:tcBorders>
              <w:top w:val="nil"/>
              <w:left w:val="nil"/>
              <w:bottom w:val="nil"/>
              <w:right w:val="nil"/>
            </w:tcBorders>
            <w:shd w:val="clear" w:color="auto" w:fill="auto"/>
            <w:noWrap/>
            <w:vAlign w:val="center"/>
            <w:hideMark/>
          </w:tcPr>
          <w:p w14:paraId="654B673E" w14:textId="4F46C86D"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23.273.841</w:t>
            </w:r>
          </w:p>
        </w:tc>
        <w:tc>
          <w:tcPr>
            <w:tcW w:w="1413" w:type="dxa"/>
            <w:tcBorders>
              <w:top w:val="nil"/>
              <w:left w:val="nil"/>
              <w:bottom w:val="nil"/>
              <w:right w:val="nil"/>
            </w:tcBorders>
            <w:shd w:val="clear" w:color="auto" w:fill="auto"/>
            <w:noWrap/>
            <w:vAlign w:val="center"/>
            <w:hideMark/>
          </w:tcPr>
          <w:p w14:paraId="18C4A206" w14:textId="0317A7EA"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22.997.925</w:t>
            </w:r>
          </w:p>
        </w:tc>
        <w:tc>
          <w:tcPr>
            <w:tcW w:w="1469" w:type="dxa"/>
            <w:tcBorders>
              <w:top w:val="nil"/>
              <w:left w:val="nil"/>
              <w:bottom w:val="nil"/>
              <w:right w:val="nil"/>
            </w:tcBorders>
            <w:shd w:val="clear" w:color="auto" w:fill="auto"/>
            <w:noWrap/>
            <w:vAlign w:val="center"/>
            <w:hideMark/>
          </w:tcPr>
          <w:p w14:paraId="4A887441" w14:textId="0E6085E2"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58.106.413</w:t>
            </w:r>
          </w:p>
        </w:tc>
        <w:tc>
          <w:tcPr>
            <w:tcW w:w="1431" w:type="dxa"/>
            <w:tcBorders>
              <w:top w:val="nil"/>
              <w:left w:val="nil"/>
              <w:bottom w:val="nil"/>
              <w:right w:val="nil"/>
            </w:tcBorders>
            <w:shd w:val="clear" w:color="auto" w:fill="auto"/>
            <w:noWrap/>
            <w:vAlign w:val="center"/>
            <w:hideMark/>
          </w:tcPr>
          <w:p w14:paraId="6FE0C4AA" w14:textId="29BE4E43" w:rsidR="0059568C" w:rsidRPr="0059568C" w:rsidRDefault="0059568C" w:rsidP="004A6C54">
            <w:pPr>
              <w:jc w:val="right"/>
              <w:rPr>
                <w:rFonts w:eastAsia="Times New Roman" w:cs="Calibri"/>
                <w:color w:val="333D6B"/>
                <w:sz w:val="18"/>
                <w:szCs w:val="18"/>
                <w:lang w:eastAsia="es-CL"/>
              </w:rPr>
            </w:pPr>
            <w:r w:rsidRPr="0059568C">
              <w:rPr>
                <w:rFonts w:eastAsia="Times New Roman" w:cs="Calibri"/>
                <w:color w:val="333D6B"/>
                <w:sz w:val="18"/>
                <w:szCs w:val="18"/>
                <w:lang w:eastAsia="es-CL"/>
              </w:rPr>
              <w:t>60.407.171</w:t>
            </w:r>
          </w:p>
        </w:tc>
        <w:tc>
          <w:tcPr>
            <w:tcW w:w="1336" w:type="dxa"/>
            <w:tcBorders>
              <w:top w:val="nil"/>
              <w:left w:val="nil"/>
              <w:bottom w:val="nil"/>
              <w:right w:val="nil"/>
            </w:tcBorders>
            <w:shd w:val="clear" w:color="auto" w:fill="auto"/>
            <w:noWrap/>
            <w:vAlign w:val="center"/>
          </w:tcPr>
          <w:p w14:paraId="1CE5B2E8" w14:textId="7942A811" w:rsidR="0059568C" w:rsidRPr="0059568C" w:rsidRDefault="00853F0B" w:rsidP="004A6C54">
            <w:pPr>
              <w:jc w:val="right"/>
              <w:rPr>
                <w:rFonts w:eastAsia="Times New Roman" w:cs="Calibri"/>
                <w:color w:val="333D6B"/>
                <w:sz w:val="18"/>
                <w:szCs w:val="18"/>
                <w:lang w:eastAsia="es-CL"/>
              </w:rPr>
            </w:pPr>
            <w:r>
              <w:rPr>
                <w:rFonts w:eastAsia="Times New Roman" w:cs="Calibri"/>
                <w:color w:val="333D6B"/>
                <w:sz w:val="18"/>
                <w:szCs w:val="18"/>
                <w:lang w:eastAsia="es-CL"/>
              </w:rPr>
              <w:t>91.564.266</w:t>
            </w:r>
          </w:p>
        </w:tc>
      </w:tr>
    </w:tbl>
    <w:p w14:paraId="7F50C4D8" w14:textId="77777777" w:rsidR="00FC4CEE" w:rsidRPr="006E5945" w:rsidRDefault="00FC4CEE" w:rsidP="006E5945"/>
    <w:p w14:paraId="0A24CCCB" w14:textId="6394BF23" w:rsidR="00F305AA" w:rsidRDefault="00F305AA" w:rsidP="003333EA">
      <w:pPr>
        <w:pStyle w:val="Ttulo1"/>
        <w:keepNext w:val="0"/>
      </w:pPr>
      <w:r>
        <w:t xml:space="preserve">Opinión </w:t>
      </w:r>
    </w:p>
    <w:p w14:paraId="40D12D10" w14:textId="77777777" w:rsidR="00F305AA" w:rsidRDefault="00F305AA" w:rsidP="003333EA">
      <w:pPr>
        <w:pStyle w:val="Ttulo"/>
        <w:jc w:val="both"/>
      </w:pPr>
      <w:r>
        <w:t>Fundamentos de la clasificación</w:t>
      </w:r>
    </w:p>
    <w:p w14:paraId="726AC177" w14:textId="1994514E" w:rsidR="00636A3A" w:rsidRDefault="00636A3A" w:rsidP="004A6C54">
      <w:pPr>
        <w:spacing w:after="120"/>
        <w:jc w:val="both"/>
      </w:pPr>
      <w:r w:rsidRPr="005D5938">
        <w:rPr>
          <w:b/>
          <w:bCs/>
        </w:rPr>
        <w:t xml:space="preserve">Comercial K </w:t>
      </w:r>
      <w:proofErr w:type="spellStart"/>
      <w:r w:rsidR="004A6C54">
        <w:rPr>
          <w:b/>
          <w:bCs/>
        </w:rPr>
        <w:t>SpA</w:t>
      </w:r>
      <w:proofErr w:type="spellEnd"/>
      <w:r w:rsidRPr="00FD1620">
        <w:t xml:space="preserve"> (en adelante </w:t>
      </w:r>
      <w:r w:rsidRPr="005D5938">
        <w:rPr>
          <w:b/>
          <w:bCs/>
        </w:rPr>
        <w:t>MK</w:t>
      </w:r>
      <w:r w:rsidRPr="00053D18">
        <w:t>), cuyo origen se remonta al año 1998, se dedica a la importación y</w:t>
      </w:r>
      <w:r>
        <w:t xml:space="preserve"> </w:t>
      </w:r>
      <w:r w:rsidRPr="00053D18">
        <w:t xml:space="preserve">venta de </w:t>
      </w:r>
      <w:r>
        <w:t>artículos</w:t>
      </w:r>
      <w:r w:rsidRPr="00053D18">
        <w:t xml:space="preserve"> para el mejoramiento del hogar</w:t>
      </w:r>
      <w:r>
        <w:t xml:space="preserve"> en Chile. Dentro de los productos que ofrece destacan</w:t>
      </w:r>
      <w:r w:rsidRPr="00053D18">
        <w:t xml:space="preserve"> </w:t>
      </w:r>
      <w:r w:rsidRPr="00053D18">
        <w:rPr>
          <w:lang w:val="es-ES"/>
        </w:rPr>
        <w:t>cerámicas, pavimentos, piedras, porcelanatos, mosaicos, grifería, sanitarios, pizarras, pisos de madera y muebles de cocina</w:t>
      </w:r>
      <w:r w:rsidRPr="00053D18">
        <w:t>.</w:t>
      </w:r>
    </w:p>
    <w:p w14:paraId="2F1D93FC" w14:textId="6FA27E94" w:rsidR="00636A3A" w:rsidRDefault="00636A3A" w:rsidP="004A6C54">
      <w:pPr>
        <w:spacing w:after="120"/>
        <w:jc w:val="both"/>
      </w:pPr>
      <w:r w:rsidRPr="005C171C">
        <w:t xml:space="preserve">Durante 2020, </w:t>
      </w:r>
      <w:r w:rsidRPr="001A4FE1">
        <w:rPr>
          <w:b/>
          <w:bCs/>
        </w:rPr>
        <w:t>MK</w:t>
      </w:r>
      <w:r w:rsidRPr="005C171C">
        <w:t xml:space="preserve"> obtuvo ventas por $ 89.642 millones </w:t>
      </w:r>
      <w:r w:rsidRPr="00DB7459">
        <w:t xml:space="preserve">y un </w:t>
      </w:r>
      <w:r w:rsidRPr="002A38C8">
        <w:t>EBITDA</w:t>
      </w:r>
      <w:r>
        <w:rPr>
          <w:rStyle w:val="Refdenotaalpie"/>
        </w:rPr>
        <w:footnoteReference w:id="5"/>
      </w:r>
      <w:r w:rsidRPr="002A38C8">
        <w:t xml:space="preserve"> de $ </w:t>
      </w:r>
      <w:r w:rsidRPr="00EE475D">
        <w:t>7.787</w:t>
      </w:r>
      <w:r w:rsidRPr="002A38C8">
        <w:t xml:space="preserve"> millones, mientras</w:t>
      </w:r>
      <w:r w:rsidRPr="005C171C">
        <w:t xml:space="preserve"> que al cierre del ejercicio la deuda fin</w:t>
      </w:r>
      <w:r w:rsidRPr="00AB006A">
        <w:t>anciera alcanz</w:t>
      </w:r>
      <w:r>
        <w:t>ó los</w:t>
      </w:r>
      <w:r w:rsidRPr="00AB006A">
        <w:t xml:space="preserve"> $ </w:t>
      </w:r>
      <w:r w:rsidRPr="000129FB">
        <w:t>60.407</w:t>
      </w:r>
      <w:r>
        <w:t xml:space="preserve"> </w:t>
      </w:r>
      <w:r w:rsidRPr="00AB006A">
        <w:t xml:space="preserve">millones. </w:t>
      </w:r>
      <w:r w:rsidR="00C01D6D">
        <w:t>A septiembre de 2021, muestra ingresos por $ 118.</w:t>
      </w:r>
      <w:r w:rsidR="00E1596E">
        <w:t>473 millones, un EBITDA de $ 21.64</w:t>
      </w:r>
      <w:r w:rsidR="00D5217E">
        <w:t xml:space="preserve">4 millones y una deuda </w:t>
      </w:r>
      <w:r w:rsidR="00C039C1">
        <w:t xml:space="preserve">financiera de $ </w:t>
      </w:r>
      <w:r w:rsidR="00EA683F">
        <w:t>91.564 millones</w:t>
      </w:r>
      <w:r w:rsidR="00A35569">
        <w:t xml:space="preserve">. </w:t>
      </w:r>
      <w:r w:rsidRPr="00AB006A">
        <w:t>Para efecto de</w:t>
      </w:r>
      <w:r w:rsidR="00A35569">
        <w:t xml:space="preserve"> la</w:t>
      </w:r>
      <w:r w:rsidRPr="00AB006A">
        <w:t xml:space="preserve"> clasificación</w:t>
      </w:r>
      <w:r>
        <w:t xml:space="preserve">, </w:t>
      </w:r>
      <w:r w:rsidRPr="00AB006A">
        <w:t xml:space="preserve">se </w:t>
      </w:r>
      <w:r>
        <w:t xml:space="preserve">asume </w:t>
      </w:r>
      <w:r w:rsidRPr="00AB006A">
        <w:t>la emisión de título</w:t>
      </w:r>
      <w:r>
        <w:t>s</w:t>
      </w:r>
      <w:r w:rsidRPr="00AB006A">
        <w:t xml:space="preserve"> de deuda</w:t>
      </w:r>
      <w:r>
        <w:t xml:space="preserve"> por UF 1 millón destinado </w:t>
      </w:r>
      <w:r w:rsidR="00A35569">
        <w:t xml:space="preserve">en su totalidad </w:t>
      </w:r>
      <w:r>
        <w:t>a sustituir pasivos.</w:t>
      </w:r>
    </w:p>
    <w:p w14:paraId="1CC2FC5F" w14:textId="34B2401E" w:rsidR="00636A3A" w:rsidRDefault="00636A3A" w:rsidP="004A6C54">
      <w:pPr>
        <w:spacing w:after="120"/>
        <w:jc w:val="both"/>
      </w:pPr>
      <w:r w:rsidRPr="00FD1620">
        <w:t xml:space="preserve">Dentro de las principales fortalezas que dan sustento a la clasificación de </w:t>
      </w:r>
      <w:r w:rsidR="004A6C54">
        <w:t xml:space="preserve">la línea de bonos en proceso de inscripción </w:t>
      </w:r>
      <w:r w:rsidRPr="00FD1620">
        <w:t xml:space="preserve">de </w:t>
      </w:r>
      <w:r>
        <w:rPr>
          <w:b/>
          <w:bCs/>
        </w:rPr>
        <w:t>M</w:t>
      </w:r>
      <w:r w:rsidRPr="005D5938">
        <w:rPr>
          <w:b/>
          <w:bCs/>
        </w:rPr>
        <w:t>K</w:t>
      </w:r>
      <w:r w:rsidRPr="00FD1620">
        <w:t xml:space="preserve"> en</w:t>
      </w:r>
      <w:r w:rsidR="004A6C54">
        <w:t xml:space="preserve"> </w:t>
      </w:r>
      <w:r w:rsidRPr="00BB3003">
        <w:t>“</w:t>
      </w:r>
      <w:r w:rsidRPr="006D34CB">
        <w:rPr>
          <w:i/>
          <w:iCs/>
        </w:rPr>
        <w:t>Categoría A</w:t>
      </w:r>
      <w:r w:rsidRPr="00BB3003">
        <w:t>”</w:t>
      </w:r>
      <w:r w:rsidRPr="00FD1620">
        <w:t>, destaca</w:t>
      </w:r>
      <w:r>
        <w:t xml:space="preserve"> la extensa red de comercialización que le permite ofrecer sus productos </w:t>
      </w:r>
      <w:r w:rsidR="00565D26">
        <w:t>desde Arica a Chiloé</w:t>
      </w:r>
      <w:r w:rsidRPr="005B430E">
        <w:t>.</w:t>
      </w:r>
      <w:r>
        <w:t xml:space="preserve"> También se reconoce la variedad de productos comercializados dentro de su “nicho” mejoramiento del hogar </w:t>
      </w:r>
      <w:r w:rsidR="00812320">
        <w:t>(p</w:t>
      </w:r>
      <w:r>
        <w:t>isos duros, pisos blandos</w:t>
      </w:r>
      <w:r w:rsidR="00812320">
        <w:t>,</w:t>
      </w:r>
      <w:r>
        <w:t xml:space="preserve"> hidrosanitarios y muebles de cocina</w:t>
      </w:r>
      <w:r w:rsidR="00300003">
        <w:t>)</w:t>
      </w:r>
      <w:r>
        <w:t xml:space="preserve">. </w:t>
      </w:r>
    </w:p>
    <w:p w14:paraId="2B119B94" w14:textId="77777777" w:rsidR="00462795" w:rsidRDefault="00636A3A" w:rsidP="004A6C54">
      <w:pPr>
        <w:spacing w:after="120"/>
        <w:jc w:val="both"/>
      </w:pPr>
      <w:r w:rsidRPr="001C5DA9">
        <w:t>Otro elemento favorable considerado en la clasificación e</w:t>
      </w:r>
      <w:r>
        <w:t>s</w:t>
      </w:r>
      <w:r w:rsidRPr="001C5DA9">
        <w:t xml:space="preserve"> la diversificación</w:t>
      </w:r>
      <w:r>
        <w:t xml:space="preserve"> y atomización</w:t>
      </w:r>
      <w:r w:rsidRPr="001C5DA9">
        <w:t xml:space="preserve"> de clientes</w:t>
      </w:r>
      <w:r>
        <w:t xml:space="preserve">. </w:t>
      </w:r>
      <w:r w:rsidR="00462795">
        <w:t>E</w:t>
      </w:r>
      <w:r>
        <w:t>ste elemento reduce</w:t>
      </w:r>
      <w:r w:rsidR="00462795">
        <w:t xml:space="preserve"> </w:t>
      </w:r>
      <w:r>
        <w:t xml:space="preserve">el impacto por pérdida de clientes relevantes y limita la exposición del patrimonio ante incumplimiento por parte de los deudores. Se destaca también, la amplia base de proveedores con los que opera, que le permite mantener una buena posición competitiva y acota el riesgo de quiebre de inventarios. </w:t>
      </w:r>
    </w:p>
    <w:p w14:paraId="221D23FD" w14:textId="063D7D40" w:rsidR="00636A3A" w:rsidRDefault="00636A3A" w:rsidP="004A6C54">
      <w:pPr>
        <w:spacing w:after="120"/>
        <w:jc w:val="both"/>
      </w:pPr>
      <w:r>
        <w:t xml:space="preserve">De forma complementaria, se incorpora como elemento positivo el hecho de que la empresa posee ejecutivos profesionales con experiencia en el sector y que han mostrado una gestión y estrategia de desarrollo que ha sido acertada en el tiempo. </w:t>
      </w:r>
      <w:r w:rsidR="00E77FC7">
        <w:t xml:space="preserve"> Asimismo,</w:t>
      </w:r>
      <w:r>
        <w:t xml:space="preserve"> el análisis incorpora el </w:t>
      </w:r>
      <w:proofErr w:type="spellStart"/>
      <w:r w:rsidRPr="00D934C3">
        <w:rPr>
          <w:i/>
          <w:iCs/>
        </w:rPr>
        <w:t>know</w:t>
      </w:r>
      <w:proofErr w:type="spellEnd"/>
      <w:r w:rsidRPr="00D934C3">
        <w:rPr>
          <w:i/>
          <w:iCs/>
        </w:rPr>
        <w:t xml:space="preserve"> </w:t>
      </w:r>
      <w:proofErr w:type="spellStart"/>
      <w:proofErr w:type="gramStart"/>
      <w:r w:rsidRPr="00D934C3">
        <w:rPr>
          <w:i/>
          <w:iCs/>
        </w:rPr>
        <w:t>how</w:t>
      </w:r>
      <w:proofErr w:type="spellEnd"/>
      <w:r>
        <w:t xml:space="preserve">  y</w:t>
      </w:r>
      <w:proofErr w:type="gramEnd"/>
      <w:r>
        <w:t xml:space="preserve"> capacidad de importación de </w:t>
      </w:r>
      <w:proofErr w:type="spellStart"/>
      <w:r>
        <w:t>Klipen</w:t>
      </w:r>
      <w:proofErr w:type="spellEnd"/>
      <w:r w:rsidR="0080306D">
        <w:rPr>
          <w:rStyle w:val="Refdenotaalpie"/>
        </w:rPr>
        <w:footnoteReference w:id="6"/>
      </w:r>
      <w:r w:rsidR="00E77FC7">
        <w:t xml:space="preserve">, lo </w:t>
      </w:r>
      <w:r w:rsidR="00E77FC7">
        <w:lastRenderedPageBreak/>
        <w:t>cual</w:t>
      </w:r>
      <w:r>
        <w:t xml:space="preserve">,  constituye una ventaja competitiva en términos de disponibilidad de </w:t>
      </w:r>
      <w:r w:rsidRPr="00456CA5">
        <w:rPr>
          <w:i/>
          <w:iCs/>
        </w:rPr>
        <w:t>stock</w:t>
      </w:r>
      <w:r>
        <w:rPr>
          <w:i/>
          <w:iCs/>
        </w:rPr>
        <w:t>,</w:t>
      </w:r>
      <w:r>
        <w:t xml:space="preserve"> compra de productos a precios convenientes, y mejora continua. </w:t>
      </w:r>
    </w:p>
    <w:p w14:paraId="52FA73C8" w14:textId="1AF373D9" w:rsidR="00636A3A" w:rsidRDefault="00636A3A" w:rsidP="004A6C54">
      <w:pPr>
        <w:spacing w:after="120"/>
        <w:jc w:val="both"/>
      </w:pPr>
      <w:r w:rsidRPr="00BC5222">
        <w:t xml:space="preserve">Desde otra perspectiva, la clasificación de riesgo se ve restringida por </w:t>
      </w:r>
      <w:r>
        <w:t>la e</w:t>
      </w:r>
      <w:r w:rsidRPr="003500AB">
        <w:t>xposición a variables externas</w:t>
      </w:r>
      <w:r w:rsidR="00EF39F6">
        <w:t xml:space="preserve"> como el tipo de cambio</w:t>
      </w:r>
      <w:r w:rsidR="003B5ECB">
        <w:t>.</w:t>
      </w:r>
      <w:r>
        <w:t xml:space="preserve"> Sin embargo, la sociedad contrata derivados para protegerse de estas fluctuaciones. Por otro lado, variaciones en las tarifas navieras o en los gastos de despachos y fletes a clientes</w:t>
      </w:r>
      <w:r w:rsidR="00E77FC7">
        <w:t>,</w:t>
      </w:r>
      <w:r>
        <w:t xml:space="preserve"> eventualmente podrían repercutir en el nivel de precio de venta y, por ende, en la cantidad demandada. </w:t>
      </w:r>
    </w:p>
    <w:p w14:paraId="6D38AC73" w14:textId="763BDEFF" w:rsidR="00636A3A" w:rsidRPr="007200F6" w:rsidRDefault="00636A3A" w:rsidP="004A6C54">
      <w:pPr>
        <w:spacing w:after="120"/>
        <w:jc w:val="both"/>
      </w:pPr>
      <w:r w:rsidRPr="007200F6">
        <w:t xml:space="preserve">También se ha establecido como riesgo la concentración de abastecimiento en el mercado asiático, </w:t>
      </w:r>
      <w:r w:rsidR="00E77FC7">
        <w:t>considerando que parte importante de las importaciones se rea</w:t>
      </w:r>
      <w:r w:rsidR="00133C6A">
        <w:t>l</w:t>
      </w:r>
      <w:r w:rsidR="00E77FC7">
        <w:t>izan</w:t>
      </w:r>
      <w:r w:rsidRPr="007200F6">
        <w:t xml:space="preserve"> desde China. Lo anterior</w:t>
      </w:r>
      <w:r>
        <w:t>,</w:t>
      </w:r>
      <w:r w:rsidRPr="007200F6">
        <w:t xml:space="preserve"> da cuenta que frente a situaciones desfavorables en dicho mercado</w:t>
      </w:r>
      <w:r>
        <w:t xml:space="preserve"> -por ejemplo, </w:t>
      </w:r>
      <w:proofErr w:type="spellStart"/>
      <w:r>
        <w:t>dismunción</w:t>
      </w:r>
      <w:proofErr w:type="spellEnd"/>
      <w:r>
        <w:t xml:space="preserve"> de producción, problemas de despacho u otros-</w:t>
      </w:r>
      <w:r w:rsidRPr="007200F6">
        <w:t>, se podría tener un efecto directo en la</w:t>
      </w:r>
      <w:r>
        <w:t xml:space="preserve"> </w:t>
      </w:r>
      <w:r w:rsidRPr="007200F6">
        <w:t xml:space="preserve">capacidad de generación de </w:t>
      </w:r>
      <w:r>
        <w:t>flujos de la empresa</w:t>
      </w:r>
      <w:r w:rsidRPr="007200F6">
        <w:t>.</w:t>
      </w:r>
      <w:r>
        <w:t xml:space="preserve"> </w:t>
      </w:r>
    </w:p>
    <w:p w14:paraId="323CAE17" w14:textId="1496AE2D" w:rsidR="00636A3A" w:rsidRDefault="00636A3A" w:rsidP="004A6C54">
      <w:pPr>
        <w:spacing w:after="120"/>
        <w:jc w:val="both"/>
      </w:pPr>
      <w:r>
        <w:t>La evaluación considera, además,</w:t>
      </w:r>
      <w:r w:rsidRPr="004B1877">
        <w:t xml:space="preserve"> la exposición</w:t>
      </w:r>
      <w:r w:rsidR="004E0858">
        <w:t xml:space="preserve"> </w:t>
      </w:r>
      <w:r w:rsidRPr="004B1877">
        <w:t>a empresas sensibles a ciclos económicos</w:t>
      </w:r>
      <w:r>
        <w:t xml:space="preserve">. No obstante, se reconoce que </w:t>
      </w:r>
      <w:r w:rsidRPr="009A26CD">
        <w:rPr>
          <w:b/>
          <w:bCs/>
        </w:rPr>
        <w:t>MK</w:t>
      </w:r>
      <w:r>
        <w:t xml:space="preserve"> posee un adecuado grado de diversificación, considerando que además de inmobiliarias ofrece proyectos para obras públicas y mandantes corporativos. Asimismo, en sus otros segmentos, la empresa vende a distribuidores y clientes particulares.</w:t>
      </w:r>
    </w:p>
    <w:p w14:paraId="5CEF7B00" w14:textId="369784AF" w:rsidR="00636A3A" w:rsidRDefault="00636A3A" w:rsidP="004A6C54">
      <w:pPr>
        <w:spacing w:after="120"/>
        <w:jc w:val="both"/>
      </w:pPr>
      <w:r w:rsidRPr="00C9191F">
        <w:t xml:space="preserve">Otro elemento que restringe la clasificación asignada a </w:t>
      </w:r>
      <w:r w:rsidRPr="00C9191F">
        <w:rPr>
          <w:b/>
          <w:bCs/>
        </w:rPr>
        <w:t>MK</w:t>
      </w:r>
      <w:r>
        <w:rPr>
          <w:b/>
          <w:bCs/>
        </w:rPr>
        <w:t xml:space="preserve"> </w:t>
      </w:r>
      <w:r w:rsidRPr="00C9191F">
        <w:t>es el riesgo de crédito</w:t>
      </w:r>
      <w:r>
        <w:t xml:space="preserve"> al que se encuentra expuesto la compañía, considerando la posibilidad de que un grupo de clientes no cumpla con sus obligaciones contractuales. Sin embargo, el riesgo se atenúa dado que la empresa contrata seguros de crédito y se encuentra diversificado.</w:t>
      </w:r>
    </w:p>
    <w:p w14:paraId="4924CF93" w14:textId="62EB2FB5" w:rsidR="004D2C36" w:rsidRPr="00C11147" w:rsidRDefault="00636A3A" w:rsidP="004A6C54">
      <w:pPr>
        <w:spacing w:after="120"/>
        <w:jc w:val="both"/>
      </w:pPr>
      <w:r w:rsidRPr="00C11147">
        <w:t xml:space="preserve">De forma adicional, se considera que el patrimonio de la firma está constituido </w:t>
      </w:r>
      <w:r w:rsidR="00D50966" w:rsidRPr="00C11147">
        <w:t>mayormente</w:t>
      </w:r>
      <w:r w:rsidRPr="00C11147">
        <w:t xml:space="preserve"> por utilidades retenidas, susceptibles de ser repartidas como dividendos. Sin embargo, en opinión de </w:t>
      </w:r>
      <w:r w:rsidRPr="00C11147">
        <w:rPr>
          <w:b/>
          <w:bCs/>
          <w:i/>
          <w:iCs/>
        </w:rPr>
        <w:t>Humphreys</w:t>
      </w:r>
      <w:r w:rsidRPr="00C11147">
        <w:t xml:space="preserve">, al menos en el corto plazo, existe una baja probabilidad de que se retiren recursos si ello compromete financieramente a </w:t>
      </w:r>
      <w:r w:rsidRPr="00C11147">
        <w:rPr>
          <w:b/>
          <w:bCs/>
        </w:rPr>
        <w:t>MK</w:t>
      </w:r>
      <w:r w:rsidR="004D2C36" w:rsidRPr="00C11147">
        <w:t>; es más, se espera que la empresa</w:t>
      </w:r>
      <w:r w:rsidR="008B182C" w:rsidRPr="00C11147">
        <w:t xml:space="preserve"> capitalice $ 20.000 millones</w:t>
      </w:r>
      <w:r w:rsidR="000351C4" w:rsidRPr="00C11147">
        <w:t xml:space="preserve"> quedando 79% del patrimonio explicado por capital y, por ende, </w:t>
      </w:r>
      <w:r w:rsidR="00553A06" w:rsidRPr="00C11147">
        <w:t>atenuando significativamente el riesgo</w:t>
      </w:r>
      <w:r w:rsidR="00C11147" w:rsidRPr="00C11147">
        <w:t>.</w:t>
      </w:r>
    </w:p>
    <w:p w14:paraId="5CFE9AD8" w14:textId="20EEC670" w:rsidR="00D1033D" w:rsidRDefault="00D1033D" w:rsidP="004A6C54">
      <w:pPr>
        <w:spacing w:after="120"/>
        <w:jc w:val="both"/>
      </w:pPr>
      <w:r w:rsidRPr="004D4279">
        <w:t xml:space="preserve">En cuanto a sustentabilidad, el centro de distribución de </w:t>
      </w:r>
      <w:r w:rsidRPr="004D4279">
        <w:rPr>
          <w:b/>
          <w:bCs/>
        </w:rPr>
        <w:t>MK</w:t>
      </w:r>
      <w:r w:rsidRPr="004D4279">
        <w:t xml:space="preserve"> posee certificación </w:t>
      </w:r>
      <w:r w:rsidRPr="004D4279">
        <w:rPr>
          <w:i/>
          <w:iCs/>
        </w:rPr>
        <w:t>LEED Gold (</w:t>
      </w:r>
      <w:proofErr w:type="spellStart"/>
      <w:r w:rsidRPr="004D4279">
        <w:rPr>
          <w:i/>
          <w:iCs/>
        </w:rPr>
        <w:t>Leadership</w:t>
      </w:r>
      <w:proofErr w:type="spellEnd"/>
      <w:r w:rsidRPr="004D4279">
        <w:rPr>
          <w:i/>
          <w:iCs/>
        </w:rPr>
        <w:t xml:space="preserve"> in Energy and </w:t>
      </w:r>
      <w:proofErr w:type="spellStart"/>
      <w:r w:rsidRPr="004D4279">
        <w:rPr>
          <w:i/>
          <w:iCs/>
        </w:rPr>
        <w:t>Environmental</w:t>
      </w:r>
      <w:proofErr w:type="spellEnd"/>
      <w:r w:rsidRPr="004D4279">
        <w:rPr>
          <w:i/>
          <w:iCs/>
        </w:rPr>
        <w:t xml:space="preserve"> </w:t>
      </w:r>
      <w:proofErr w:type="spellStart"/>
      <w:r w:rsidRPr="004D4279">
        <w:rPr>
          <w:i/>
          <w:iCs/>
        </w:rPr>
        <w:t>Design</w:t>
      </w:r>
      <w:proofErr w:type="spellEnd"/>
      <w:r w:rsidRPr="004D4279">
        <w:rPr>
          <w:i/>
          <w:iCs/>
        </w:rPr>
        <w:t>)</w:t>
      </w:r>
      <w:r>
        <w:rPr>
          <w:i/>
          <w:iCs/>
        </w:rPr>
        <w:t>;</w:t>
      </w:r>
      <w:r w:rsidRPr="004D4279">
        <w:rPr>
          <w:i/>
          <w:iCs/>
        </w:rPr>
        <w:t xml:space="preserve"> </w:t>
      </w:r>
      <w:r w:rsidRPr="003F2FCA">
        <w:t>q</w:t>
      </w:r>
      <w:r w:rsidRPr="004D4279">
        <w:t xml:space="preserve">ue es un sistema de certificación multicriterio, que cubre distintos elementos de sustentabilidad, enfocándose en los beneficios sociales, económicos y en el uso eficiente de recursos. </w:t>
      </w:r>
    </w:p>
    <w:p w14:paraId="63E6FAA0" w14:textId="77777777" w:rsidR="00636A3A" w:rsidRDefault="00636A3A" w:rsidP="004A6C54">
      <w:pPr>
        <w:spacing w:after="120"/>
        <w:jc w:val="both"/>
      </w:pPr>
      <w:r>
        <w:t>La tendencia de la clasificación se califica como “</w:t>
      </w:r>
      <w:r w:rsidRPr="00F73976">
        <w:rPr>
          <w:i/>
          <w:iCs/>
        </w:rPr>
        <w:t>Estable</w:t>
      </w:r>
      <w:r>
        <w:t xml:space="preserve">” ya que, en el corto plazo, en opinión de la clasificadora, no se visualizan cambios de relevancia en los riesgos que afectan a la compañía. </w:t>
      </w:r>
    </w:p>
    <w:p w14:paraId="080017C9" w14:textId="77777777" w:rsidR="004A6C54" w:rsidRDefault="004A6C54">
      <w:r>
        <w:br w:type="page"/>
      </w:r>
    </w:p>
    <w:tbl>
      <w:tblPr>
        <w:tblW w:w="8324" w:type="dxa"/>
        <w:jc w:val="center"/>
        <w:tblCellMar>
          <w:left w:w="70" w:type="dxa"/>
          <w:right w:w="70" w:type="dxa"/>
        </w:tblCellMar>
        <w:tblLook w:val="04A0" w:firstRow="1" w:lastRow="0" w:firstColumn="1" w:lastColumn="0" w:noHBand="0" w:noVBand="1"/>
      </w:tblPr>
      <w:tblGrid>
        <w:gridCol w:w="8324"/>
      </w:tblGrid>
      <w:tr w:rsidR="002320A8" w:rsidRPr="001909B5" w14:paraId="00696882" w14:textId="77777777" w:rsidTr="00CA4E46">
        <w:trPr>
          <w:trHeight w:val="163"/>
          <w:jc w:val="center"/>
        </w:trPr>
        <w:tc>
          <w:tcPr>
            <w:tcW w:w="8324" w:type="dxa"/>
            <w:tcBorders>
              <w:top w:val="nil"/>
              <w:left w:val="nil"/>
              <w:bottom w:val="nil"/>
              <w:right w:val="nil"/>
            </w:tcBorders>
            <w:shd w:val="clear" w:color="000000" w:fill="BB1823"/>
            <w:noWrap/>
            <w:vAlign w:val="center"/>
            <w:hideMark/>
          </w:tcPr>
          <w:p w14:paraId="12A5DF04" w14:textId="093D194B" w:rsidR="002320A8" w:rsidRPr="001909B5" w:rsidRDefault="002320A8" w:rsidP="00CA4E46">
            <w:pPr>
              <w:jc w:val="center"/>
              <w:rPr>
                <w:rFonts w:eastAsia="Times New Roman" w:cs="Arial"/>
                <w:b/>
                <w:bCs/>
                <w:color w:val="FFFFFF"/>
                <w:sz w:val="18"/>
                <w:szCs w:val="18"/>
                <w:lang w:eastAsia="es-CL"/>
              </w:rPr>
            </w:pPr>
            <w:r w:rsidRPr="001909B5">
              <w:rPr>
                <w:rFonts w:eastAsia="Times New Roman" w:cs="Arial"/>
                <w:b/>
                <w:bCs/>
                <w:color w:val="FFFFFF"/>
                <w:sz w:val="18"/>
                <w:szCs w:val="18"/>
                <w:lang w:eastAsia="es-CL"/>
              </w:rPr>
              <w:lastRenderedPageBreak/>
              <w:t>Resumen Fundamentos Clasificación</w:t>
            </w:r>
          </w:p>
        </w:tc>
      </w:tr>
      <w:tr w:rsidR="002320A8" w:rsidRPr="001909B5" w14:paraId="7B50B0E0" w14:textId="77777777" w:rsidTr="00CA4E46">
        <w:trPr>
          <w:trHeight w:val="163"/>
          <w:jc w:val="center"/>
        </w:trPr>
        <w:tc>
          <w:tcPr>
            <w:tcW w:w="8324" w:type="dxa"/>
            <w:tcBorders>
              <w:top w:val="dotted" w:sz="4" w:space="0" w:color="E6344B"/>
              <w:left w:val="nil"/>
              <w:bottom w:val="nil"/>
              <w:right w:val="nil"/>
            </w:tcBorders>
            <w:shd w:val="clear" w:color="auto" w:fill="auto"/>
            <w:noWrap/>
            <w:vAlign w:val="center"/>
            <w:hideMark/>
          </w:tcPr>
          <w:p w14:paraId="66DB04B6" w14:textId="77777777" w:rsidR="002320A8" w:rsidRPr="001909B5" w:rsidRDefault="002320A8" w:rsidP="00CA4E46">
            <w:pPr>
              <w:rPr>
                <w:rFonts w:eastAsia="Times New Roman" w:cs="Arial"/>
                <w:color w:val="333D6B"/>
                <w:sz w:val="18"/>
                <w:szCs w:val="18"/>
                <w:lang w:eastAsia="es-CL"/>
              </w:rPr>
            </w:pPr>
          </w:p>
        </w:tc>
      </w:tr>
      <w:tr w:rsidR="002320A8" w:rsidRPr="001909B5" w14:paraId="1A732A35" w14:textId="77777777" w:rsidTr="00CA4E46">
        <w:trPr>
          <w:trHeight w:val="163"/>
          <w:jc w:val="center"/>
        </w:trPr>
        <w:tc>
          <w:tcPr>
            <w:tcW w:w="8324" w:type="dxa"/>
            <w:tcBorders>
              <w:top w:val="nil"/>
              <w:left w:val="nil"/>
              <w:right w:val="nil"/>
            </w:tcBorders>
            <w:shd w:val="clear" w:color="auto" w:fill="auto"/>
            <w:noWrap/>
            <w:vAlign w:val="center"/>
            <w:hideMark/>
          </w:tcPr>
          <w:p w14:paraId="619E8C24" w14:textId="77777777" w:rsidR="002320A8" w:rsidRPr="001909B5" w:rsidRDefault="002320A8" w:rsidP="00CA4E46">
            <w:pPr>
              <w:rPr>
                <w:b/>
                <w:bCs/>
                <w:sz w:val="18"/>
                <w:szCs w:val="18"/>
              </w:rPr>
            </w:pPr>
            <w:r w:rsidRPr="001909B5">
              <w:rPr>
                <w:b/>
                <w:bCs/>
                <w:sz w:val="18"/>
                <w:szCs w:val="18"/>
              </w:rPr>
              <w:t>Fortalezas centrales</w:t>
            </w:r>
          </w:p>
        </w:tc>
      </w:tr>
      <w:tr w:rsidR="002320A8" w:rsidRPr="001909B5" w14:paraId="1B8FB8B5" w14:textId="77777777" w:rsidTr="00CA4E46">
        <w:trPr>
          <w:trHeight w:val="163"/>
          <w:jc w:val="center"/>
        </w:trPr>
        <w:tc>
          <w:tcPr>
            <w:tcW w:w="8324" w:type="dxa"/>
            <w:tcBorders>
              <w:top w:val="nil"/>
              <w:left w:val="nil"/>
              <w:bottom w:val="nil"/>
              <w:right w:val="nil"/>
            </w:tcBorders>
            <w:shd w:val="clear" w:color="auto" w:fill="auto"/>
            <w:noWrap/>
            <w:vAlign w:val="center"/>
            <w:hideMark/>
          </w:tcPr>
          <w:p w14:paraId="4F26E0A9" w14:textId="77777777" w:rsidR="002320A8" w:rsidRPr="006A6E6A" w:rsidRDefault="002320A8" w:rsidP="00CA4E46">
            <w:pPr>
              <w:pStyle w:val="Prrafodelista"/>
              <w:numPr>
                <w:ilvl w:val="0"/>
                <w:numId w:val="3"/>
              </w:numPr>
              <w:rPr>
                <w:sz w:val="18"/>
                <w:szCs w:val="18"/>
              </w:rPr>
            </w:pPr>
            <w:r w:rsidRPr="006A6E6A">
              <w:rPr>
                <w:sz w:val="18"/>
                <w:szCs w:val="18"/>
                <w:lang w:val="es-ES"/>
              </w:rPr>
              <w:t xml:space="preserve">Extensa red de comercialización. </w:t>
            </w:r>
          </w:p>
          <w:p w14:paraId="21859015" w14:textId="77777777" w:rsidR="002320A8" w:rsidRPr="002E3131" w:rsidRDefault="002320A8" w:rsidP="00CA4E46">
            <w:pPr>
              <w:pStyle w:val="Prrafodelista"/>
              <w:numPr>
                <w:ilvl w:val="0"/>
                <w:numId w:val="3"/>
              </w:numPr>
              <w:rPr>
                <w:sz w:val="18"/>
                <w:szCs w:val="18"/>
              </w:rPr>
            </w:pPr>
            <w:r w:rsidRPr="00E431A8">
              <w:rPr>
                <w:sz w:val="18"/>
                <w:szCs w:val="18"/>
                <w:lang w:val="es-ES"/>
              </w:rPr>
              <w:t xml:space="preserve">Amplio </w:t>
            </w:r>
            <w:proofErr w:type="spellStart"/>
            <w:proofErr w:type="gramStart"/>
            <w:r w:rsidRPr="00E431A8">
              <w:rPr>
                <w:i/>
                <w:iCs/>
                <w:sz w:val="18"/>
                <w:szCs w:val="18"/>
                <w:lang w:val="es-ES"/>
              </w:rPr>
              <w:t>mix</w:t>
            </w:r>
            <w:proofErr w:type="spellEnd"/>
            <w:r w:rsidRPr="00E431A8">
              <w:rPr>
                <w:sz w:val="18"/>
                <w:szCs w:val="18"/>
                <w:lang w:val="es-ES"/>
              </w:rPr>
              <w:t xml:space="preserve">  de</w:t>
            </w:r>
            <w:proofErr w:type="gramEnd"/>
            <w:r w:rsidRPr="00E431A8">
              <w:rPr>
                <w:sz w:val="18"/>
                <w:szCs w:val="18"/>
                <w:lang w:val="es-ES"/>
              </w:rPr>
              <w:t xml:space="preserve"> productos de mejoramiento del hogar.</w:t>
            </w:r>
          </w:p>
          <w:p w14:paraId="1BF5438F" w14:textId="77777777" w:rsidR="002320A8" w:rsidRPr="002E3131" w:rsidRDefault="002320A8" w:rsidP="00CA4E46">
            <w:pPr>
              <w:pStyle w:val="Prrafodelista"/>
              <w:numPr>
                <w:ilvl w:val="0"/>
                <w:numId w:val="3"/>
              </w:numPr>
              <w:rPr>
                <w:sz w:val="18"/>
                <w:szCs w:val="18"/>
              </w:rPr>
            </w:pPr>
            <w:r w:rsidRPr="002E3131">
              <w:rPr>
                <w:sz w:val="18"/>
                <w:szCs w:val="18"/>
                <w:lang w:val="es-ES"/>
              </w:rPr>
              <w:t>Diversificación de clientes y proveedores.</w:t>
            </w:r>
          </w:p>
          <w:p w14:paraId="2B2D74D4" w14:textId="77777777" w:rsidR="002320A8" w:rsidRDefault="002320A8" w:rsidP="00CA4E46">
            <w:pPr>
              <w:pStyle w:val="Prrafodelista"/>
              <w:rPr>
                <w:sz w:val="18"/>
                <w:szCs w:val="18"/>
              </w:rPr>
            </w:pPr>
          </w:p>
          <w:p w14:paraId="09E7C57B" w14:textId="77777777" w:rsidR="002320A8" w:rsidRPr="001909B5" w:rsidRDefault="002320A8" w:rsidP="00CA4E46">
            <w:pPr>
              <w:pStyle w:val="Prrafodelista"/>
              <w:rPr>
                <w:sz w:val="18"/>
                <w:szCs w:val="18"/>
              </w:rPr>
            </w:pPr>
          </w:p>
        </w:tc>
      </w:tr>
      <w:tr w:rsidR="002320A8" w:rsidRPr="001909B5" w14:paraId="69DF18F9" w14:textId="77777777" w:rsidTr="00CA4E46">
        <w:trPr>
          <w:trHeight w:val="163"/>
          <w:jc w:val="center"/>
        </w:trPr>
        <w:tc>
          <w:tcPr>
            <w:tcW w:w="8324" w:type="dxa"/>
            <w:tcBorders>
              <w:top w:val="dotted" w:sz="4" w:space="0" w:color="AE1619"/>
              <w:left w:val="nil"/>
              <w:right w:val="nil"/>
            </w:tcBorders>
            <w:shd w:val="clear" w:color="auto" w:fill="auto"/>
            <w:noWrap/>
            <w:vAlign w:val="center"/>
            <w:hideMark/>
          </w:tcPr>
          <w:p w14:paraId="73ADB3FE" w14:textId="77777777" w:rsidR="002320A8" w:rsidRPr="001909B5" w:rsidRDefault="002320A8" w:rsidP="00CA4E46">
            <w:pPr>
              <w:rPr>
                <w:sz w:val="18"/>
                <w:szCs w:val="18"/>
              </w:rPr>
            </w:pPr>
            <w:r w:rsidRPr="001909B5">
              <w:rPr>
                <w:sz w:val="18"/>
                <w:szCs w:val="18"/>
              </w:rPr>
              <w:t xml:space="preserve"> </w:t>
            </w:r>
          </w:p>
        </w:tc>
      </w:tr>
      <w:tr w:rsidR="002320A8" w:rsidRPr="001909B5" w14:paraId="2DDC3359" w14:textId="77777777" w:rsidTr="00CA4E46">
        <w:trPr>
          <w:trHeight w:val="163"/>
          <w:jc w:val="center"/>
        </w:trPr>
        <w:tc>
          <w:tcPr>
            <w:tcW w:w="8324" w:type="dxa"/>
            <w:tcBorders>
              <w:top w:val="nil"/>
              <w:left w:val="nil"/>
              <w:right w:val="nil"/>
            </w:tcBorders>
            <w:shd w:val="clear" w:color="auto" w:fill="auto"/>
            <w:noWrap/>
            <w:vAlign w:val="center"/>
            <w:hideMark/>
          </w:tcPr>
          <w:p w14:paraId="2ECDF27B" w14:textId="77777777" w:rsidR="002320A8" w:rsidRPr="001909B5" w:rsidRDefault="002320A8" w:rsidP="00CA4E46">
            <w:pPr>
              <w:rPr>
                <w:b/>
                <w:bCs/>
                <w:sz w:val="18"/>
                <w:szCs w:val="18"/>
              </w:rPr>
            </w:pPr>
            <w:r w:rsidRPr="001909B5">
              <w:rPr>
                <w:b/>
                <w:bCs/>
                <w:sz w:val="18"/>
                <w:szCs w:val="18"/>
              </w:rPr>
              <w:t>Fortalezas complementarias</w:t>
            </w:r>
          </w:p>
        </w:tc>
      </w:tr>
      <w:tr w:rsidR="002320A8" w:rsidRPr="001909B5" w14:paraId="1616B93C" w14:textId="77777777" w:rsidTr="00CA4E46">
        <w:trPr>
          <w:trHeight w:val="163"/>
          <w:jc w:val="center"/>
        </w:trPr>
        <w:tc>
          <w:tcPr>
            <w:tcW w:w="8324" w:type="dxa"/>
            <w:tcBorders>
              <w:top w:val="nil"/>
              <w:left w:val="nil"/>
              <w:bottom w:val="dotted" w:sz="4" w:space="0" w:color="C00000"/>
              <w:right w:val="nil"/>
            </w:tcBorders>
            <w:shd w:val="clear" w:color="auto" w:fill="auto"/>
            <w:noWrap/>
            <w:vAlign w:val="center"/>
            <w:hideMark/>
          </w:tcPr>
          <w:p w14:paraId="73AAAEED" w14:textId="77777777" w:rsidR="002320A8" w:rsidRPr="00E431A8" w:rsidRDefault="002320A8" w:rsidP="00CA4E46">
            <w:pPr>
              <w:pStyle w:val="Prrafodelista"/>
              <w:numPr>
                <w:ilvl w:val="0"/>
                <w:numId w:val="4"/>
              </w:numPr>
              <w:rPr>
                <w:sz w:val="18"/>
                <w:szCs w:val="18"/>
              </w:rPr>
            </w:pPr>
            <w:bookmarkStart w:id="0" w:name="_Hlk83222868"/>
            <w:r w:rsidRPr="00E431A8">
              <w:rPr>
                <w:sz w:val="18"/>
                <w:szCs w:val="18"/>
                <w:lang w:val="es-ES"/>
              </w:rPr>
              <w:t>Experiencia en el rubro y adecuada administración.</w:t>
            </w:r>
          </w:p>
          <w:bookmarkEnd w:id="0"/>
          <w:p w14:paraId="7605B2E1" w14:textId="77777777" w:rsidR="002320A8" w:rsidRPr="005E0729" w:rsidRDefault="002320A8" w:rsidP="00CA4E46">
            <w:pPr>
              <w:ind w:left="720"/>
              <w:rPr>
                <w:sz w:val="18"/>
                <w:szCs w:val="18"/>
              </w:rPr>
            </w:pPr>
          </w:p>
          <w:p w14:paraId="53AC5A72" w14:textId="77777777" w:rsidR="002320A8" w:rsidRPr="001909B5" w:rsidRDefault="002320A8" w:rsidP="00CA4E46">
            <w:pPr>
              <w:pStyle w:val="Prrafodelista"/>
              <w:rPr>
                <w:sz w:val="18"/>
                <w:szCs w:val="18"/>
              </w:rPr>
            </w:pPr>
          </w:p>
        </w:tc>
      </w:tr>
      <w:tr w:rsidR="002320A8" w:rsidRPr="001909B5" w14:paraId="06906AC3" w14:textId="77777777" w:rsidTr="00CA4E46">
        <w:trPr>
          <w:trHeight w:val="163"/>
          <w:jc w:val="center"/>
        </w:trPr>
        <w:tc>
          <w:tcPr>
            <w:tcW w:w="8324" w:type="dxa"/>
            <w:tcBorders>
              <w:top w:val="dotted" w:sz="4" w:space="0" w:color="C00000"/>
              <w:left w:val="nil"/>
              <w:bottom w:val="nil"/>
              <w:right w:val="nil"/>
            </w:tcBorders>
            <w:shd w:val="clear" w:color="auto" w:fill="auto"/>
            <w:noWrap/>
            <w:vAlign w:val="center"/>
          </w:tcPr>
          <w:p w14:paraId="00CCE2E8" w14:textId="77777777" w:rsidR="002320A8" w:rsidRDefault="002320A8" w:rsidP="00CA4E46">
            <w:pPr>
              <w:pStyle w:val="Prrafodelista"/>
              <w:rPr>
                <w:sz w:val="18"/>
                <w:szCs w:val="18"/>
              </w:rPr>
            </w:pPr>
          </w:p>
          <w:p w14:paraId="4F2982EC" w14:textId="77777777" w:rsidR="002320A8" w:rsidRPr="00F04318" w:rsidRDefault="002320A8" w:rsidP="00CA4E46">
            <w:pPr>
              <w:rPr>
                <w:sz w:val="18"/>
                <w:szCs w:val="18"/>
              </w:rPr>
            </w:pPr>
            <w:r w:rsidRPr="00F04318">
              <w:rPr>
                <w:b/>
                <w:bCs/>
                <w:sz w:val="18"/>
                <w:szCs w:val="18"/>
              </w:rPr>
              <w:t>Fortalezas de apoyo</w:t>
            </w:r>
          </w:p>
        </w:tc>
      </w:tr>
      <w:tr w:rsidR="002320A8" w:rsidRPr="001909B5" w14:paraId="0B746875" w14:textId="77777777" w:rsidTr="00CA4E46">
        <w:trPr>
          <w:trHeight w:val="163"/>
          <w:jc w:val="center"/>
        </w:trPr>
        <w:tc>
          <w:tcPr>
            <w:tcW w:w="8324" w:type="dxa"/>
            <w:tcBorders>
              <w:top w:val="nil"/>
              <w:left w:val="nil"/>
              <w:bottom w:val="nil"/>
              <w:right w:val="nil"/>
            </w:tcBorders>
            <w:shd w:val="clear" w:color="auto" w:fill="auto"/>
            <w:noWrap/>
            <w:vAlign w:val="center"/>
          </w:tcPr>
          <w:p w14:paraId="6D5C5D4E" w14:textId="77777777" w:rsidR="002320A8" w:rsidRPr="002E3131" w:rsidRDefault="002320A8" w:rsidP="00CA4E46">
            <w:pPr>
              <w:pStyle w:val="Prrafodelista"/>
              <w:numPr>
                <w:ilvl w:val="0"/>
                <w:numId w:val="4"/>
              </w:numPr>
              <w:rPr>
                <w:sz w:val="18"/>
                <w:szCs w:val="18"/>
              </w:rPr>
            </w:pPr>
            <w:proofErr w:type="spellStart"/>
            <w:r w:rsidRPr="00E431A8">
              <w:rPr>
                <w:i/>
                <w:iCs/>
                <w:sz w:val="18"/>
                <w:szCs w:val="18"/>
                <w:lang w:val="es-ES"/>
              </w:rPr>
              <w:t>Know</w:t>
            </w:r>
            <w:proofErr w:type="spellEnd"/>
            <w:r w:rsidRPr="00E431A8">
              <w:rPr>
                <w:i/>
                <w:iCs/>
                <w:sz w:val="18"/>
                <w:szCs w:val="18"/>
                <w:lang w:val="es-ES"/>
              </w:rPr>
              <w:t xml:space="preserve"> </w:t>
            </w:r>
            <w:proofErr w:type="spellStart"/>
            <w:proofErr w:type="gramStart"/>
            <w:r w:rsidRPr="00E431A8">
              <w:rPr>
                <w:i/>
                <w:iCs/>
                <w:sz w:val="18"/>
                <w:szCs w:val="18"/>
                <w:lang w:val="es-ES"/>
              </w:rPr>
              <w:t>how</w:t>
            </w:r>
            <w:proofErr w:type="spellEnd"/>
            <w:r w:rsidRPr="00E431A8">
              <w:rPr>
                <w:i/>
                <w:iCs/>
                <w:sz w:val="18"/>
                <w:szCs w:val="18"/>
                <w:lang w:val="es-ES"/>
              </w:rPr>
              <w:t xml:space="preserve">  </w:t>
            </w:r>
            <w:r w:rsidRPr="00E431A8">
              <w:rPr>
                <w:sz w:val="18"/>
                <w:szCs w:val="18"/>
                <w:lang w:val="es-ES"/>
              </w:rPr>
              <w:t>y</w:t>
            </w:r>
            <w:proofErr w:type="gramEnd"/>
            <w:r w:rsidRPr="00E431A8">
              <w:rPr>
                <w:sz w:val="18"/>
                <w:szCs w:val="18"/>
                <w:lang w:val="es-ES"/>
              </w:rPr>
              <w:t xml:space="preserve"> capacidad de importación (</w:t>
            </w:r>
            <w:proofErr w:type="spellStart"/>
            <w:r w:rsidRPr="00E431A8">
              <w:rPr>
                <w:sz w:val="18"/>
                <w:szCs w:val="18"/>
                <w:lang w:val="es-ES"/>
              </w:rPr>
              <w:t>Klipen</w:t>
            </w:r>
            <w:proofErr w:type="spellEnd"/>
            <w:r w:rsidRPr="00E431A8">
              <w:rPr>
                <w:sz w:val="18"/>
                <w:szCs w:val="18"/>
                <w:lang w:val="es-ES"/>
              </w:rPr>
              <w:t>).</w:t>
            </w:r>
          </w:p>
        </w:tc>
      </w:tr>
      <w:tr w:rsidR="002320A8" w:rsidRPr="001909B5" w14:paraId="7B456D06" w14:textId="77777777" w:rsidTr="00CA4E46">
        <w:trPr>
          <w:trHeight w:val="80"/>
          <w:jc w:val="center"/>
        </w:trPr>
        <w:tc>
          <w:tcPr>
            <w:tcW w:w="8324" w:type="dxa"/>
            <w:tcBorders>
              <w:top w:val="nil"/>
              <w:left w:val="nil"/>
              <w:bottom w:val="nil"/>
              <w:right w:val="nil"/>
            </w:tcBorders>
            <w:shd w:val="clear" w:color="auto" w:fill="auto"/>
            <w:noWrap/>
            <w:vAlign w:val="center"/>
          </w:tcPr>
          <w:p w14:paraId="0BD8125F" w14:textId="77777777" w:rsidR="002320A8" w:rsidRPr="00F04318" w:rsidRDefault="002320A8" w:rsidP="00CA4E46">
            <w:pPr>
              <w:rPr>
                <w:sz w:val="18"/>
                <w:szCs w:val="18"/>
              </w:rPr>
            </w:pPr>
          </w:p>
        </w:tc>
      </w:tr>
      <w:tr w:rsidR="002320A8" w:rsidRPr="001909B5" w14:paraId="599E8E82" w14:textId="77777777" w:rsidTr="00CA4E46">
        <w:trPr>
          <w:trHeight w:val="163"/>
          <w:jc w:val="center"/>
        </w:trPr>
        <w:tc>
          <w:tcPr>
            <w:tcW w:w="8324" w:type="dxa"/>
            <w:tcBorders>
              <w:top w:val="dotted" w:sz="4" w:space="0" w:color="AE1619"/>
              <w:left w:val="nil"/>
              <w:bottom w:val="nil"/>
              <w:right w:val="nil"/>
            </w:tcBorders>
            <w:shd w:val="clear" w:color="auto" w:fill="auto"/>
            <w:noWrap/>
            <w:vAlign w:val="center"/>
            <w:hideMark/>
          </w:tcPr>
          <w:p w14:paraId="317466F5" w14:textId="77777777" w:rsidR="002320A8" w:rsidRPr="001909B5" w:rsidRDefault="002320A8" w:rsidP="00CA4E46">
            <w:pPr>
              <w:rPr>
                <w:sz w:val="18"/>
                <w:szCs w:val="18"/>
              </w:rPr>
            </w:pPr>
          </w:p>
        </w:tc>
      </w:tr>
      <w:tr w:rsidR="002320A8" w:rsidRPr="001909B5" w14:paraId="21D6904E" w14:textId="77777777" w:rsidTr="00CA4E46">
        <w:trPr>
          <w:trHeight w:val="163"/>
          <w:jc w:val="center"/>
        </w:trPr>
        <w:tc>
          <w:tcPr>
            <w:tcW w:w="8324" w:type="dxa"/>
            <w:tcBorders>
              <w:top w:val="nil"/>
              <w:left w:val="nil"/>
              <w:bottom w:val="nil"/>
              <w:right w:val="nil"/>
            </w:tcBorders>
            <w:shd w:val="clear" w:color="auto" w:fill="auto"/>
            <w:noWrap/>
            <w:vAlign w:val="center"/>
            <w:hideMark/>
          </w:tcPr>
          <w:p w14:paraId="32CDF256" w14:textId="77777777" w:rsidR="002320A8" w:rsidRPr="001909B5" w:rsidRDefault="002320A8" w:rsidP="00CA4E46">
            <w:pPr>
              <w:rPr>
                <w:b/>
                <w:bCs/>
                <w:sz w:val="18"/>
                <w:szCs w:val="18"/>
              </w:rPr>
            </w:pPr>
            <w:r>
              <w:rPr>
                <w:b/>
                <w:bCs/>
                <w:sz w:val="18"/>
                <w:szCs w:val="18"/>
              </w:rPr>
              <w:t>Riesgos considerados</w:t>
            </w:r>
          </w:p>
        </w:tc>
      </w:tr>
      <w:tr w:rsidR="002320A8" w:rsidRPr="001909B5" w14:paraId="11446E66" w14:textId="77777777" w:rsidTr="00CA4E46">
        <w:trPr>
          <w:trHeight w:val="163"/>
          <w:jc w:val="center"/>
        </w:trPr>
        <w:tc>
          <w:tcPr>
            <w:tcW w:w="8324" w:type="dxa"/>
            <w:tcBorders>
              <w:top w:val="nil"/>
              <w:left w:val="nil"/>
              <w:bottom w:val="nil"/>
              <w:right w:val="nil"/>
            </w:tcBorders>
            <w:shd w:val="clear" w:color="auto" w:fill="auto"/>
            <w:noWrap/>
            <w:vAlign w:val="center"/>
            <w:hideMark/>
          </w:tcPr>
          <w:p w14:paraId="3F6AC99E" w14:textId="77777777" w:rsidR="002320A8" w:rsidRPr="00233EC0" w:rsidRDefault="002320A8" w:rsidP="00CA4E46">
            <w:pPr>
              <w:pStyle w:val="Prrafodelista"/>
              <w:numPr>
                <w:ilvl w:val="0"/>
                <w:numId w:val="5"/>
              </w:numPr>
              <w:rPr>
                <w:sz w:val="18"/>
                <w:szCs w:val="18"/>
              </w:rPr>
            </w:pPr>
            <w:r w:rsidRPr="00233EC0">
              <w:rPr>
                <w:sz w:val="18"/>
                <w:szCs w:val="18"/>
                <w:lang w:val="es-ES"/>
              </w:rPr>
              <w:t>Exposición a variables externas; tipo cambio y tarifas navieras.</w:t>
            </w:r>
          </w:p>
          <w:p w14:paraId="7EC57E99" w14:textId="77777777" w:rsidR="002320A8" w:rsidRPr="00233EC0" w:rsidRDefault="002320A8" w:rsidP="00CA4E46">
            <w:pPr>
              <w:pStyle w:val="Prrafodelista"/>
              <w:numPr>
                <w:ilvl w:val="0"/>
                <w:numId w:val="5"/>
              </w:numPr>
              <w:rPr>
                <w:sz w:val="18"/>
                <w:szCs w:val="18"/>
              </w:rPr>
            </w:pPr>
            <w:r w:rsidRPr="00233EC0">
              <w:rPr>
                <w:sz w:val="18"/>
                <w:szCs w:val="18"/>
                <w:lang w:val="es-ES"/>
              </w:rPr>
              <w:t xml:space="preserve">Concentración de abastecimiento (mercado chino). </w:t>
            </w:r>
          </w:p>
          <w:p w14:paraId="7996A95E" w14:textId="77777777" w:rsidR="002320A8" w:rsidRPr="00233EC0" w:rsidRDefault="002320A8" w:rsidP="00CA4E46">
            <w:pPr>
              <w:pStyle w:val="Prrafodelista"/>
              <w:numPr>
                <w:ilvl w:val="0"/>
                <w:numId w:val="5"/>
              </w:numPr>
              <w:rPr>
                <w:sz w:val="18"/>
                <w:szCs w:val="18"/>
              </w:rPr>
            </w:pPr>
            <w:r w:rsidRPr="00233EC0">
              <w:rPr>
                <w:sz w:val="18"/>
                <w:szCs w:val="18"/>
                <w:lang w:val="es-ES"/>
              </w:rPr>
              <w:t>Exposición a empresas sensibles a ciclos económicos.</w:t>
            </w:r>
          </w:p>
          <w:p w14:paraId="3F9E9BF7" w14:textId="2A0ECE63" w:rsidR="002320A8" w:rsidRPr="00660D73" w:rsidRDefault="002320A8" w:rsidP="00CA4E46">
            <w:pPr>
              <w:pStyle w:val="Prrafodelista"/>
              <w:numPr>
                <w:ilvl w:val="0"/>
                <w:numId w:val="5"/>
              </w:numPr>
              <w:rPr>
                <w:sz w:val="18"/>
                <w:szCs w:val="18"/>
              </w:rPr>
            </w:pPr>
            <w:r w:rsidRPr="00660D73">
              <w:rPr>
                <w:sz w:val="18"/>
                <w:szCs w:val="18"/>
                <w:lang w:val="es-ES"/>
              </w:rPr>
              <w:t>Reducido capital</w:t>
            </w:r>
            <w:r w:rsidR="00FE342C" w:rsidRPr="00660D73">
              <w:rPr>
                <w:sz w:val="18"/>
                <w:szCs w:val="18"/>
                <w:lang w:val="es-ES"/>
              </w:rPr>
              <w:t xml:space="preserve"> (riesgo eventualmente transitorio)</w:t>
            </w:r>
            <w:r w:rsidR="00660D73">
              <w:rPr>
                <w:sz w:val="18"/>
                <w:szCs w:val="18"/>
                <w:lang w:val="es-ES"/>
              </w:rPr>
              <w:t>.</w:t>
            </w:r>
          </w:p>
          <w:p w14:paraId="42D21A36" w14:textId="77777777" w:rsidR="002320A8" w:rsidRPr="00233EC0" w:rsidRDefault="002320A8" w:rsidP="00CA4E46">
            <w:pPr>
              <w:pStyle w:val="Prrafodelista"/>
              <w:numPr>
                <w:ilvl w:val="0"/>
                <w:numId w:val="5"/>
              </w:numPr>
              <w:rPr>
                <w:sz w:val="18"/>
                <w:szCs w:val="18"/>
              </w:rPr>
            </w:pPr>
            <w:r w:rsidRPr="00AD694A">
              <w:rPr>
                <w:sz w:val="18"/>
                <w:szCs w:val="18"/>
                <w:lang w:val="es-ES"/>
              </w:rPr>
              <w:t>Riesgo de crédito.</w:t>
            </w:r>
          </w:p>
        </w:tc>
      </w:tr>
      <w:tr w:rsidR="002320A8" w:rsidRPr="001909B5" w14:paraId="436768C6" w14:textId="77777777" w:rsidTr="00CA4E46">
        <w:trPr>
          <w:trHeight w:val="80"/>
          <w:jc w:val="center"/>
        </w:trPr>
        <w:tc>
          <w:tcPr>
            <w:tcW w:w="8324" w:type="dxa"/>
            <w:tcBorders>
              <w:top w:val="nil"/>
              <w:left w:val="nil"/>
              <w:bottom w:val="dotted" w:sz="4" w:space="0" w:color="E6344B"/>
              <w:right w:val="nil"/>
            </w:tcBorders>
            <w:shd w:val="clear" w:color="auto" w:fill="auto"/>
            <w:noWrap/>
            <w:vAlign w:val="center"/>
            <w:hideMark/>
          </w:tcPr>
          <w:p w14:paraId="094BFE4C" w14:textId="77777777" w:rsidR="002320A8" w:rsidRPr="001909B5" w:rsidRDefault="002320A8" w:rsidP="00CA4E46">
            <w:pPr>
              <w:pStyle w:val="Prrafodelista"/>
              <w:rPr>
                <w:sz w:val="18"/>
                <w:szCs w:val="18"/>
              </w:rPr>
            </w:pPr>
          </w:p>
        </w:tc>
      </w:tr>
    </w:tbl>
    <w:p w14:paraId="1DDC5B52" w14:textId="77777777" w:rsidR="00381B16" w:rsidRPr="004A6C54" w:rsidRDefault="00381B16">
      <w:pPr>
        <w:rPr>
          <w:rFonts w:eastAsiaTheme="majorEastAsia" w:cstheme="majorBidi"/>
          <w:b/>
          <w:szCs w:val="21"/>
        </w:rPr>
      </w:pPr>
    </w:p>
    <w:p w14:paraId="0777638B" w14:textId="62ADF625" w:rsidR="00F305AA" w:rsidRPr="00E10DEB" w:rsidRDefault="00F305AA" w:rsidP="004A6C54">
      <w:pPr>
        <w:pStyle w:val="Ttulo1"/>
        <w:keepNext w:val="0"/>
      </w:pPr>
      <w:r w:rsidRPr="00E10DEB">
        <w:t>Hechos recientes</w:t>
      </w:r>
    </w:p>
    <w:p w14:paraId="28890295" w14:textId="3F03D7D2" w:rsidR="00E408EB" w:rsidRDefault="00E408EB" w:rsidP="004A6C54">
      <w:pPr>
        <w:pStyle w:val="Ttulo"/>
        <w:rPr>
          <w:rFonts w:eastAsia="Times New Roman"/>
          <w:lang w:val="es-ES" w:eastAsia="es-ES"/>
        </w:rPr>
      </w:pPr>
      <w:r w:rsidRPr="00F305AA">
        <w:rPr>
          <w:rFonts w:eastAsia="Times New Roman"/>
          <w:lang w:val="es-ES" w:eastAsia="es-ES"/>
        </w:rPr>
        <w:t xml:space="preserve">Resultados </w:t>
      </w:r>
      <w:r>
        <w:rPr>
          <w:rFonts w:eastAsia="Times New Roman"/>
          <w:lang w:val="es-ES" w:eastAsia="es-ES"/>
        </w:rPr>
        <w:t>2020</w:t>
      </w:r>
    </w:p>
    <w:p w14:paraId="6CA0E302" w14:textId="0BBB9C63" w:rsidR="00555130" w:rsidRDefault="00F4700C" w:rsidP="004A6C54">
      <w:pPr>
        <w:pStyle w:val="Textonotapie"/>
        <w:tabs>
          <w:tab w:val="left" w:pos="720"/>
        </w:tabs>
        <w:spacing w:after="120"/>
        <w:jc w:val="both"/>
        <w:rPr>
          <w:rFonts w:ascii="Myriad Pro" w:eastAsiaTheme="minorHAnsi" w:hAnsi="Myriad Pro" w:cstheme="minorBidi"/>
          <w:sz w:val="21"/>
          <w:szCs w:val="24"/>
          <w:highlight w:val="yellow"/>
          <w:lang w:val="es-CL" w:eastAsia="en-US"/>
        </w:rPr>
      </w:pPr>
      <w:r w:rsidRPr="00964AB9">
        <w:rPr>
          <w:rFonts w:ascii="Myriad Pro" w:eastAsiaTheme="minorHAnsi" w:hAnsi="Myriad Pro" w:cstheme="minorBidi"/>
          <w:sz w:val="21"/>
          <w:szCs w:val="24"/>
          <w:lang w:val="es-CL" w:eastAsia="en-US"/>
        </w:rPr>
        <w:t xml:space="preserve">Durante 2020, </w:t>
      </w:r>
      <w:r w:rsidRPr="00B44395">
        <w:rPr>
          <w:rFonts w:ascii="Myriad Pro" w:eastAsiaTheme="minorHAnsi" w:hAnsi="Myriad Pro" w:cstheme="minorBidi"/>
          <w:sz w:val="21"/>
          <w:szCs w:val="24"/>
          <w:lang w:val="es-CL" w:eastAsia="en-US"/>
        </w:rPr>
        <w:t xml:space="preserve">los ingresos de </w:t>
      </w:r>
      <w:r w:rsidR="00964AB9" w:rsidRPr="00B44395">
        <w:rPr>
          <w:rFonts w:ascii="Myriad Pro" w:eastAsiaTheme="minorHAnsi" w:hAnsi="Myriad Pro" w:cstheme="minorBidi"/>
          <w:b/>
          <w:bCs/>
          <w:sz w:val="21"/>
          <w:szCs w:val="24"/>
          <w:lang w:val="es-CL" w:eastAsia="en-US"/>
        </w:rPr>
        <w:t>MK</w:t>
      </w:r>
      <w:r w:rsidRPr="00B44395">
        <w:rPr>
          <w:rFonts w:ascii="Myriad Pro" w:eastAsiaTheme="minorHAnsi" w:hAnsi="Myriad Pro" w:cstheme="minorBidi"/>
          <w:sz w:val="21"/>
          <w:szCs w:val="24"/>
          <w:lang w:val="es-CL" w:eastAsia="en-US"/>
        </w:rPr>
        <w:t xml:space="preserve"> totalizaron $ </w:t>
      </w:r>
      <w:r w:rsidR="000A0072" w:rsidRPr="00B44395">
        <w:rPr>
          <w:rFonts w:ascii="Myriad Pro" w:eastAsiaTheme="minorHAnsi" w:hAnsi="Myriad Pro" w:cstheme="minorBidi"/>
          <w:sz w:val="21"/>
          <w:szCs w:val="24"/>
          <w:lang w:val="es-CL" w:eastAsia="en-US"/>
        </w:rPr>
        <w:t xml:space="preserve">89.642 </w:t>
      </w:r>
      <w:r w:rsidRPr="00B44395">
        <w:rPr>
          <w:rFonts w:ascii="Myriad Pro" w:eastAsiaTheme="minorHAnsi" w:hAnsi="Myriad Pro" w:cstheme="minorBidi"/>
          <w:sz w:val="21"/>
          <w:szCs w:val="24"/>
          <w:lang w:val="es-CL" w:eastAsia="en-US"/>
        </w:rPr>
        <w:t xml:space="preserve">millones, aumentando un </w:t>
      </w:r>
      <w:r w:rsidR="00C64E8B" w:rsidRPr="00B44395">
        <w:rPr>
          <w:rFonts w:ascii="Myriad Pro" w:eastAsiaTheme="minorHAnsi" w:hAnsi="Myriad Pro" w:cstheme="minorBidi"/>
          <w:sz w:val="21"/>
          <w:szCs w:val="24"/>
          <w:lang w:val="es-CL" w:eastAsia="en-US"/>
        </w:rPr>
        <w:t>2</w:t>
      </w:r>
      <w:r w:rsidRPr="00B44395">
        <w:rPr>
          <w:rFonts w:ascii="Myriad Pro" w:eastAsiaTheme="minorHAnsi" w:hAnsi="Myriad Pro" w:cstheme="minorBidi"/>
          <w:sz w:val="21"/>
          <w:szCs w:val="24"/>
          <w:lang w:val="es-CL" w:eastAsia="en-US"/>
        </w:rPr>
        <w:t>,</w:t>
      </w:r>
      <w:r w:rsidR="00C64E8B" w:rsidRPr="00B44395">
        <w:rPr>
          <w:rFonts w:ascii="Myriad Pro" w:eastAsiaTheme="minorHAnsi" w:hAnsi="Myriad Pro" w:cstheme="minorBidi"/>
          <w:sz w:val="21"/>
          <w:szCs w:val="24"/>
          <w:lang w:val="es-CL" w:eastAsia="en-US"/>
        </w:rPr>
        <w:t>8</w:t>
      </w:r>
      <w:r w:rsidRPr="00B44395">
        <w:rPr>
          <w:rFonts w:ascii="Myriad Pro" w:eastAsiaTheme="minorHAnsi" w:hAnsi="Myriad Pro" w:cstheme="minorBidi"/>
          <w:sz w:val="21"/>
          <w:szCs w:val="24"/>
          <w:lang w:val="es-CL" w:eastAsia="en-US"/>
        </w:rPr>
        <w:t xml:space="preserve">% respecto de 2019. El aumento obedece </w:t>
      </w:r>
      <w:r w:rsidR="00287855" w:rsidRPr="00B44395">
        <w:rPr>
          <w:rFonts w:ascii="Myriad Pro" w:eastAsiaTheme="minorHAnsi" w:hAnsi="Myriad Pro" w:cstheme="minorBidi"/>
          <w:sz w:val="21"/>
          <w:szCs w:val="24"/>
          <w:lang w:val="es-CL" w:eastAsia="en-US"/>
        </w:rPr>
        <w:t xml:space="preserve">a mayores ventas </w:t>
      </w:r>
      <w:r w:rsidR="00B44395" w:rsidRPr="00B44395">
        <w:rPr>
          <w:rFonts w:ascii="Myriad Pro" w:eastAsiaTheme="minorHAnsi" w:hAnsi="Myriad Pro" w:cstheme="minorBidi"/>
          <w:sz w:val="21"/>
          <w:szCs w:val="24"/>
          <w:lang w:val="es-CL" w:eastAsia="en-US"/>
        </w:rPr>
        <w:t>a clientes particulares</w:t>
      </w:r>
      <w:r w:rsidR="002356DD">
        <w:rPr>
          <w:rFonts w:ascii="Myriad Pro" w:eastAsiaTheme="minorHAnsi" w:hAnsi="Myriad Pro" w:cstheme="minorBidi"/>
          <w:sz w:val="21"/>
          <w:szCs w:val="24"/>
          <w:lang w:val="es-CL" w:eastAsia="en-US"/>
        </w:rPr>
        <w:t xml:space="preserve"> a</w:t>
      </w:r>
      <w:r w:rsidR="00B44395" w:rsidRPr="00B44395">
        <w:rPr>
          <w:rFonts w:ascii="Myriad Pro" w:eastAsiaTheme="minorHAnsi" w:hAnsi="Myriad Pro" w:cstheme="minorBidi"/>
          <w:sz w:val="21"/>
          <w:szCs w:val="24"/>
          <w:lang w:val="es-CL" w:eastAsia="en-US"/>
        </w:rPr>
        <w:t xml:space="preserve"> través de tiendas propias (</w:t>
      </w:r>
      <w:proofErr w:type="spellStart"/>
      <w:r w:rsidR="00B44395" w:rsidRPr="00B44395">
        <w:rPr>
          <w:rFonts w:ascii="Myriad Pro" w:eastAsiaTheme="minorHAnsi" w:hAnsi="Myriad Pro" w:cstheme="minorBidi"/>
          <w:i/>
          <w:iCs/>
          <w:sz w:val="21"/>
          <w:szCs w:val="24"/>
          <w:lang w:val="es-CL" w:eastAsia="en-US"/>
        </w:rPr>
        <w:t>retail</w:t>
      </w:r>
      <w:proofErr w:type="spellEnd"/>
      <w:r w:rsidR="00B44395" w:rsidRPr="00B44395">
        <w:rPr>
          <w:rFonts w:ascii="Myriad Pro" w:eastAsiaTheme="minorHAnsi" w:hAnsi="Myriad Pro" w:cstheme="minorBidi"/>
          <w:sz w:val="21"/>
          <w:szCs w:val="24"/>
          <w:lang w:val="es-CL" w:eastAsia="en-US"/>
        </w:rPr>
        <w:t xml:space="preserve">) </w:t>
      </w:r>
      <w:r w:rsidR="00287855" w:rsidRPr="00B44395">
        <w:rPr>
          <w:rFonts w:ascii="Myriad Pro" w:eastAsiaTheme="minorHAnsi" w:hAnsi="Myriad Pro" w:cstheme="minorBidi"/>
          <w:sz w:val="21"/>
          <w:szCs w:val="24"/>
          <w:lang w:val="es-CL" w:eastAsia="en-US"/>
        </w:rPr>
        <w:t>y</w:t>
      </w:r>
      <w:r w:rsidR="00B44395" w:rsidRPr="00B44395">
        <w:rPr>
          <w:rFonts w:ascii="Myriad Pro" w:eastAsiaTheme="minorHAnsi" w:hAnsi="Myriad Pro" w:cstheme="minorBidi"/>
          <w:sz w:val="21"/>
          <w:szCs w:val="24"/>
          <w:lang w:val="es-CL" w:eastAsia="en-US"/>
        </w:rPr>
        <w:t xml:space="preserve"> </w:t>
      </w:r>
      <w:r w:rsidR="002356DD">
        <w:rPr>
          <w:rFonts w:ascii="Myriad Pro" w:eastAsiaTheme="minorHAnsi" w:hAnsi="Myriad Pro" w:cstheme="minorBidi"/>
          <w:sz w:val="21"/>
          <w:szCs w:val="24"/>
          <w:lang w:val="es-CL" w:eastAsia="en-US"/>
        </w:rPr>
        <w:t xml:space="preserve">mayores </w:t>
      </w:r>
      <w:r w:rsidR="00B44395" w:rsidRPr="00B44395">
        <w:rPr>
          <w:rFonts w:ascii="Myriad Pro" w:eastAsiaTheme="minorHAnsi" w:hAnsi="Myriad Pro" w:cstheme="minorBidi"/>
          <w:sz w:val="21"/>
          <w:szCs w:val="24"/>
          <w:lang w:val="es-CL" w:eastAsia="en-US"/>
        </w:rPr>
        <w:t>venta</w:t>
      </w:r>
      <w:r w:rsidR="002356DD">
        <w:rPr>
          <w:rFonts w:ascii="Myriad Pro" w:eastAsiaTheme="minorHAnsi" w:hAnsi="Myriad Pro" w:cstheme="minorBidi"/>
          <w:sz w:val="21"/>
          <w:szCs w:val="24"/>
          <w:lang w:val="es-CL" w:eastAsia="en-US"/>
        </w:rPr>
        <w:t>s</w:t>
      </w:r>
      <w:r w:rsidR="00B44395" w:rsidRPr="00B44395">
        <w:rPr>
          <w:rFonts w:ascii="Myriad Pro" w:eastAsiaTheme="minorHAnsi" w:hAnsi="Myriad Pro" w:cstheme="minorBidi"/>
          <w:sz w:val="21"/>
          <w:szCs w:val="24"/>
          <w:lang w:val="es-CL" w:eastAsia="en-US"/>
        </w:rPr>
        <w:t xml:space="preserve"> por medio de cadenas de ferreterías</w:t>
      </w:r>
      <w:r w:rsidR="002356DD">
        <w:rPr>
          <w:rFonts w:ascii="Myriad Pro" w:eastAsiaTheme="minorHAnsi" w:hAnsi="Myriad Pro" w:cstheme="minorBidi"/>
          <w:sz w:val="21"/>
          <w:szCs w:val="24"/>
          <w:lang w:val="es-CL" w:eastAsia="en-US"/>
        </w:rPr>
        <w:t xml:space="preserve">, </w:t>
      </w:r>
      <w:r w:rsidR="002356DD" w:rsidRPr="002356DD">
        <w:rPr>
          <w:rFonts w:ascii="Myriad Pro" w:eastAsiaTheme="minorHAnsi" w:hAnsi="Myriad Pro" w:cstheme="minorBidi"/>
          <w:sz w:val="21"/>
          <w:szCs w:val="24"/>
          <w:lang w:val="es-CL" w:eastAsia="en-US"/>
        </w:rPr>
        <w:t>tiendas especialistas y distribuidores de grandes superficies</w:t>
      </w:r>
      <w:r w:rsidR="00B44395" w:rsidRPr="00B44395">
        <w:rPr>
          <w:rFonts w:ascii="Myriad Pro" w:eastAsiaTheme="minorHAnsi" w:hAnsi="Myriad Pro" w:cstheme="minorBidi"/>
          <w:sz w:val="21"/>
          <w:szCs w:val="24"/>
          <w:lang w:val="es-CL" w:eastAsia="en-US"/>
        </w:rPr>
        <w:t>.</w:t>
      </w:r>
    </w:p>
    <w:p w14:paraId="3AAE1AD2" w14:textId="71485CA6" w:rsidR="00F4700C" w:rsidRPr="002320A8" w:rsidRDefault="00F4700C" w:rsidP="004A6C54">
      <w:pPr>
        <w:pStyle w:val="Textonotapie"/>
        <w:tabs>
          <w:tab w:val="left" w:pos="720"/>
        </w:tabs>
        <w:spacing w:after="120"/>
        <w:jc w:val="both"/>
        <w:rPr>
          <w:rFonts w:ascii="Myriad Pro" w:eastAsiaTheme="minorHAnsi" w:hAnsi="Myriad Pro" w:cstheme="minorBidi"/>
          <w:sz w:val="21"/>
          <w:szCs w:val="24"/>
          <w:highlight w:val="yellow"/>
          <w:lang w:val="es-CL" w:eastAsia="en-US"/>
        </w:rPr>
      </w:pPr>
      <w:r w:rsidRPr="005B3910">
        <w:rPr>
          <w:rFonts w:ascii="Myriad Pro" w:eastAsiaTheme="minorHAnsi" w:hAnsi="Myriad Pro" w:cstheme="minorBidi"/>
          <w:sz w:val="21"/>
          <w:szCs w:val="24"/>
          <w:lang w:val="es-CL" w:eastAsia="en-US"/>
        </w:rPr>
        <w:t xml:space="preserve">El costo de ventas, por su parte, alcanzó a $ </w:t>
      </w:r>
      <w:r w:rsidR="005B3910" w:rsidRPr="005B3910">
        <w:rPr>
          <w:rFonts w:ascii="Myriad Pro" w:eastAsiaTheme="minorHAnsi" w:hAnsi="Myriad Pro" w:cstheme="minorBidi"/>
          <w:sz w:val="21"/>
          <w:szCs w:val="24"/>
          <w:lang w:val="es-CL" w:eastAsia="en-US"/>
        </w:rPr>
        <w:t xml:space="preserve">53.432 </w:t>
      </w:r>
      <w:r w:rsidRPr="005B3910">
        <w:rPr>
          <w:rFonts w:ascii="Myriad Pro" w:eastAsiaTheme="minorHAnsi" w:hAnsi="Myriad Pro" w:cstheme="minorBidi"/>
          <w:sz w:val="21"/>
          <w:szCs w:val="24"/>
          <w:lang w:val="es-CL" w:eastAsia="en-US"/>
        </w:rPr>
        <w:t xml:space="preserve">millones, lo que representa un aumento de </w:t>
      </w:r>
      <w:r w:rsidR="005B3910" w:rsidRPr="005B3910">
        <w:rPr>
          <w:rFonts w:ascii="Myriad Pro" w:eastAsiaTheme="minorHAnsi" w:hAnsi="Myriad Pro" w:cstheme="minorBidi"/>
          <w:sz w:val="21"/>
          <w:szCs w:val="24"/>
          <w:lang w:val="es-CL" w:eastAsia="en-US"/>
        </w:rPr>
        <w:t>4,4</w:t>
      </w:r>
      <w:r w:rsidRPr="005B3910">
        <w:rPr>
          <w:rFonts w:ascii="Myriad Pro" w:eastAsiaTheme="minorHAnsi" w:hAnsi="Myriad Pro" w:cstheme="minorBidi"/>
          <w:sz w:val="21"/>
          <w:szCs w:val="24"/>
          <w:lang w:val="es-CL" w:eastAsia="en-US"/>
        </w:rPr>
        <w:t xml:space="preserve">% en relación con el ejercicio anterior, </w:t>
      </w:r>
      <w:r w:rsidR="00754D9B" w:rsidRPr="005B3910">
        <w:rPr>
          <w:rFonts w:ascii="Myriad Pro" w:eastAsiaTheme="minorHAnsi" w:hAnsi="Myriad Pro" w:cstheme="minorBidi"/>
          <w:sz w:val="21"/>
          <w:szCs w:val="24"/>
          <w:lang w:val="es-CL" w:eastAsia="en-US"/>
        </w:rPr>
        <w:t>explicado</w:t>
      </w:r>
      <w:r w:rsidRPr="005B3910">
        <w:rPr>
          <w:rFonts w:ascii="Myriad Pro" w:eastAsiaTheme="minorHAnsi" w:hAnsi="Myriad Pro" w:cstheme="minorBidi"/>
          <w:sz w:val="21"/>
          <w:szCs w:val="24"/>
          <w:lang w:val="es-CL" w:eastAsia="en-US"/>
        </w:rPr>
        <w:t xml:space="preserve"> principalmente </w:t>
      </w:r>
      <w:r w:rsidRPr="00913C3B">
        <w:rPr>
          <w:rFonts w:ascii="Myriad Pro" w:eastAsiaTheme="minorHAnsi" w:hAnsi="Myriad Pro" w:cstheme="minorBidi"/>
          <w:sz w:val="21"/>
          <w:szCs w:val="24"/>
          <w:lang w:val="es-CL" w:eastAsia="en-US"/>
        </w:rPr>
        <w:t>por el mayor volumen de venta. El</w:t>
      </w:r>
      <w:r w:rsidRPr="00437784">
        <w:rPr>
          <w:rFonts w:ascii="Myriad Pro" w:eastAsiaTheme="minorHAnsi" w:hAnsi="Myriad Pro" w:cstheme="minorBidi"/>
          <w:sz w:val="21"/>
          <w:szCs w:val="24"/>
          <w:lang w:val="es-CL" w:eastAsia="en-US"/>
        </w:rPr>
        <w:t xml:space="preserve"> costo de venta sobre los ingresos </w:t>
      </w:r>
      <w:r w:rsidR="00437784" w:rsidRPr="00437784">
        <w:rPr>
          <w:rFonts w:ascii="Myriad Pro" w:eastAsiaTheme="minorHAnsi" w:hAnsi="Myriad Pro" w:cstheme="minorBidi"/>
          <w:sz w:val="21"/>
          <w:szCs w:val="24"/>
          <w:lang w:val="es-CL" w:eastAsia="en-US"/>
        </w:rPr>
        <w:t>aumentó</w:t>
      </w:r>
      <w:r w:rsidRPr="00437784">
        <w:rPr>
          <w:rFonts w:ascii="Myriad Pro" w:eastAsiaTheme="minorHAnsi" w:hAnsi="Myriad Pro" w:cstheme="minorBidi"/>
          <w:sz w:val="21"/>
          <w:szCs w:val="24"/>
          <w:lang w:val="es-CL" w:eastAsia="en-US"/>
        </w:rPr>
        <w:t xml:space="preserve"> de </w:t>
      </w:r>
      <w:r w:rsidR="00437784" w:rsidRPr="00437784">
        <w:rPr>
          <w:rFonts w:ascii="Myriad Pro" w:eastAsiaTheme="minorHAnsi" w:hAnsi="Myriad Pro" w:cstheme="minorBidi"/>
          <w:sz w:val="21"/>
          <w:szCs w:val="24"/>
          <w:lang w:val="es-CL" w:eastAsia="en-US"/>
        </w:rPr>
        <w:t>58</w:t>
      </w:r>
      <w:r w:rsidRPr="00437784">
        <w:rPr>
          <w:rFonts w:ascii="Myriad Pro" w:eastAsiaTheme="minorHAnsi" w:hAnsi="Myriad Pro" w:cstheme="minorBidi"/>
          <w:sz w:val="21"/>
          <w:szCs w:val="24"/>
          <w:lang w:val="es-CL" w:eastAsia="en-US"/>
        </w:rPr>
        <w:t>,</w:t>
      </w:r>
      <w:r w:rsidR="00437784" w:rsidRPr="00767D46">
        <w:rPr>
          <w:rFonts w:ascii="Myriad Pro" w:eastAsiaTheme="minorHAnsi" w:hAnsi="Myriad Pro" w:cstheme="minorBidi"/>
          <w:sz w:val="21"/>
          <w:szCs w:val="24"/>
          <w:lang w:val="es-CL" w:eastAsia="en-US"/>
        </w:rPr>
        <w:t>7</w:t>
      </w:r>
      <w:r w:rsidRPr="00767D46">
        <w:rPr>
          <w:rFonts w:ascii="Myriad Pro" w:eastAsiaTheme="minorHAnsi" w:hAnsi="Myriad Pro" w:cstheme="minorBidi"/>
          <w:sz w:val="21"/>
          <w:szCs w:val="24"/>
          <w:lang w:val="es-CL" w:eastAsia="en-US"/>
        </w:rPr>
        <w:t xml:space="preserve">% (2019) a un </w:t>
      </w:r>
      <w:r w:rsidR="00437784" w:rsidRPr="00767D46">
        <w:rPr>
          <w:rFonts w:ascii="Myriad Pro" w:eastAsiaTheme="minorHAnsi" w:hAnsi="Myriad Pro" w:cstheme="minorBidi"/>
          <w:sz w:val="21"/>
          <w:szCs w:val="24"/>
          <w:lang w:val="es-CL" w:eastAsia="en-US"/>
        </w:rPr>
        <w:t>59,6</w:t>
      </w:r>
      <w:r w:rsidRPr="00767D46">
        <w:rPr>
          <w:rFonts w:ascii="Myriad Pro" w:eastAsiaTheme="minorHAnsi" w:hAnsi="Myriad Pro" w:cstheme="minorBidi"/>
          <w:sz w:val="21"/>
          <w:szCs w:val="24"/>
          <w:lang w:val="es-CL" w:eastAsia="en-US"/>
        </w:rPr>
        <w:t xml:space="preserve">% (2020). Los gastos de administración </w:t>
      </w:r>
      <w:r w:rsidR="001D00B0" w:rsidRPr="00767D46">
        <w:rPr>
          <w:rFonts w:ascii="Myriad Pro" w:eastAsiaTheme="minorHAnsi" w:hAnsi="Myriad Pro" w:cstheme="minorBidi"/>
          <w:sz w:val="21"/>
          <w:szCs w:val="24"/>
          <w:lang w:val="es-CL" w:eastAsia="en-US"/>
        </w:rPr>
        <w:t>disminuyeron 4,3%</w:t>
      </w:r>
      <w:r w:rsidRPr="00767D46">
        <w:rPr>
          <w:rFonts w:ascii="Myriad Pro" w:eastAsiaTheme="minorHAnsi" w:hAnsi="Myriad Pro" w:cstheme="minorBidi"/>
          <w:sz w:val="21"/>
          <w:szCs w:val="24"/>
          <w:lang w:val="es-CL" w:eastAsia="en-US"/>
        </w:rPr>
        <w:t xml:space="preserve"> alcanzando los $ </w:t>
      </w:r>
      <w:r w:rsidR="00A160E5" w:rsidRPr="00767D46">
        <w:rPr>
          <w:rFonts w:ascii="Myriad Pro" w:eastAsiaTheme="minorHAnsi" w:hAnsi="Myriad Pro" w:cstheme="minorBidi"/>
          <w:sz w:val="21"/>
          <w:szCs w:val="24"/>
          <w:lang w:val="es-CL" w:eastAsia="en-US"/>
        </w:rPr>
        <w:t xml:space="preserve">28.991 </w:t>
      </w:r>
      <w:r w:rsidRPr="00767D46">
        <w:rPr>
          <w:rFonts w:ascii="Myriad Pro" w:eastAsiaTheme="minorHAnsi" w:hAnsi="Myriad Pro" w:cstheme="minorBidi"/>
          <w:sz w:val="21"/>
          <w:szCs w:val="24"/>
          <w:lang w:val="es-CL" w:eastAsia="en-US"/>
        </w:rPr>
        <w:t xml:space="preserve">millones, </w:t>
      </w:r>
      <w:r w:rsidR="00155759" w:rsidRPr="00767D46">
        <w:rPr>
          <w:rFonts w:ascii="Myriad Pro" w:eastAsiaTheme="minorHAnsi" w:hAnsi="Myriad Pro" w:cstheme="minorBidi"/>
          <w:sz w:val="21"/>
          <w:szCs w:val="24"/>
          <w:lang w:val="es-CL" w:eastAsia="en-US"/>
        </w:rPr>
        <w:t xml:space="preserve">debido principalmente a </w:t>
      </w:r>
      <w:r w:rsidR="000C7120" w:rsidRPr="00767D46">
        <w:rPr>
          <w:rFonts w:ascii="Myriad Pro" w:eastAsiaTheme="minorHAnsi" w:hAnsi="Myriad Pro" w:cstheme="minorBidi"/>
          <w:sz w:val="21"/>
          <w:szCs w:val="24"/>
          <w:lang w:val="es-CL" w:eastAsia="en-US"/>
        </w:rPr>
        <w:t xml:space="preserve">menores gastos por arriendos </w:t>
      </w:r>
      <w:r w:rsidR="00767D46" w:rsidRPr="00767D46">
        <w:rPr>
          <w:rFonts w:ascii="Myriad Pro" w:eastAsiaTheme="minorHAnsi" w:hAnsi="Myriad Pro" w:cstheme="minorBidi"/>
          <w:sz w:val="21"/>
          <w:szCs w:val="24"/>
          <w:lang w:val="es-CL" w:eastAsia="en-US"/>
        </w:rPr>
        <w:t>y otros gastos operacionales</w:t>
      </w:r>
      <w:r w:rsidRPr="00767D46">
        <w:rPr>
          <w:rFonts w:ascii="Myriad Pro" w:eastAsiaTheme="minorHAnsi" w:hAnsi="Myriad Pro" w:cstheme="minorBidi"/>
          <w:sz w:val="21"/>
          <w:szCs w:val="24"/>
          <w:lang w:val="es-CL" w:eastAsia="en-US"/>
        </w:rPr>
        <w:t>.</w:t>
      </w:r>
    </w:p>
    <w:p w14:paraId="0D6F6C7F" w14:textId="20905583" w:rsidR="00F4700C" w:rsidRDefault="00F4700C" w:rsidP="004A6C54">
      <w:pPr>
        <w:pStyle w:val="Textonotapie"/>
        <w:tabs>
          <w:tab w:val="left" w:pos="720"/>
        </w:tabs>
        <w:spacing w:after="120"/>
        <w:jc w:val="both"/>
        <w:rPr>
          <w:rFonts w:ascii="Myriad Pro" w:eastAsiaTheme="minorHAnsi" w:hAnsi="Myriad Pro" w:cstheme="minorBidi"/>
          <w:sz w:val="21"/>
          <w:szCs w:val="24"/>
          <w:lang w:val="es-CL" w:eastAsia="en-US"/>
        </w:rPr>
      </w:pPr>
      <w:r w:rsidRPr="009826CB">
        <w:rPr>
          <w:rFonts w:ascii="Myriad Pro" w:eastAsiaTheme="minorHAnsi" w:hAnsi="Myriad Pro" w:cstheme="minorBidi"/>
          <w:sz w:val="21"/>
          <w:szCs w:val="24"/>
          <w:lang w:val="es-CL" w:eastAsia="en-US"/>
        </w:rPr>
        <w:t xml:space="preserve">Debido a lo anterior, el </w:t>
      </w:r>
      <w:r w:rsidRPr="00D029F6">
        <w:rPr>
          <w:rFonts w:ascii="Myriad Pro" w:eastAsiaTheme="minorHAnsi" w:hAnsi="Myriad Pro" w:cstheme="minorBidi"/>
          <w:sz w:val="21"/>
          <w:szCs w:val="24"/>
          <w:lang w:val="es-CL" w:eastAsia="en-US"/>
        </w:rPr>
        <w:t>EBITDA</w:t>
      </w:r>
      <w:r w:rsidR="00BE0CE1">
        <w:rPr>
          <w:rFonts w:ascii="Myriad Pro" w:eastAsiaTheme="minorHAnsi" w:hAnsi="Myriad Pro" w:cstheme="minorBidi"/>
          <w:sz w:val="21"/>
          <w:szCs w:val="24"/>
          <w:lang w:val="es-CL" w:eastAsia="en-US"/>
        </w:rPr>
        <w:t xml:space="preserve"> </w:t>
      </w:r>
      <w:r w:rsidRPr="00D029F6">
        <w:rPr>
          <w:rFonts w:ascii="Myriad Pro" w:eastAsiaTheme="minorHAnsi" w:hAnsi="Myriad Pro" w:cstheme="minorBidi"/>
          <w:sz w:val="21"/>
          <w:szCs w:val="24"/>
          <w:lang w:val="es-CL" w:eastAsia="en-US"/>
        </w:rPr>
        <w:t xml:space="preserve">exhibió un </w:t>
      </w:r>
      <w:r w:rsidRPr="0092021B">
        <w:rPr>
          <w:rFonts w:ascii="Myriad Pro" w:eastAsiaTheme="minorHAnsi" w:hAnsi="Myriad Pro" w:cstheme="minorBidi"/>
          <w:sz w:val="21"/>
          <w:szCs w:val="24"/>
          <w:lang w:val="es-CL" w:eastAsia="en-US"/>
        </w:rPr>
        <w:t>crecimiento de 2</w:t>
      </w:r>
      <w:r w:rsidR="002D301C" w:rsidRPr="0092021B">
        <w:rPr>
          <w:rFonts w:ascii="Myriad Pro" w:eastAsiaTheme="minorHAnsi" w:hAnsi="Myriad Pro" w:cstheme="minorBidi"/>
          <w:sz w:val="21"/>
          <w:szCs w:val="24"/>
          <w:lang w:val="es-CL" w:eastAsia="en-US"/>
        </w:rPr>
        <w:t>5</w:t>
      </w:r>
      <w:r w:rsidR="009D09CA" w:rsidRPr="0092021B">
        <w:rPr>
          <w:rFonts w:ascii="Myriad Pro" w:eastAsiaTheme="minorHAnsi" w:hAnsi="Myriad Pro" w:cstheme="minorBidi"/>
          <w:sz w:val="21"/>
          <w:szCs w:val="24"/>
          <w:lang w:val="es-CL" w:eastAsia="en-US"/>
        </w:rPr>
        <w:t>,</w:t>
      </w:r>
      <w:r w:rsidR="002D301C" w:rsidRPr="0092021B">
        <w:rPr>
          <w:rFonts w:ascii="Myriad Pro" w:eastAsiaTheme="minorHAnsi" w:hAnsi="Myriad Pro" w:cstheme="minorBidi"/>
          <w:sz w:val="21"/>
          <w:szCs w:val="24"/>
          <w:lang w:val="es-CL" w:eastAsia="en-US"/>
        </w:rPr>
        <w:t>2</w:t>
      </w:r>
      <w:r w:rsidRPr="0092021B">
        <w:rPr>
          <w:rFonts w:ascii="Myriad Pro" w:eastAsiaTheme="minorHAnsi" w:hAnsi="Myriad Pro" w:cstheme="minorBidi"/>
          <w:sz w:val="21"/>
          <w:szCs w:val="24"/>
          <w:lang w:val="es-CL" w:eastAsia="en-US"/>
        </w:rPr>
        <w:t>% en comparación con los niveles</w:t>
      </w:r>
      <w:r w:rsidR="009C01FD" w:rsidRPr="0092021B">
        <w:rPr>
          <w:rFonts w:ascii="Myriad Pro" w:eastAsiaTheme="minorHAnsi" w:hAnsi="Myriad Pro" w:cstheme="minorBidi"/>
          <w:sz w:val="21"/>
          <w:szCs w:val="24"/>
          <w:lang w:val="es-CL" w:eastAsia="en-US"/>
        </w:rPr>
        <w:t xml:space="preserve"> </w:t>
      </w:r>
      <w:r w:rsidRPr="0092021B">
        <w:rPr>
          <w:rFonts w:ascii="Myriad Pro" w:eastAsiaTheme="minorHAnsi" w:hAnsi="Myriad Pro" w:cstheme="minorBidi"/>
          <w:sz w:val="21"/>
          <w:szCs w:val="24"/>
          <w:lang w:val="es-CL" w:eastAsia="en-US"/>
        </w:rPr>
        <w:t>registrados durante el año anterior</w:t>
      </w:r>
      <w:r w:rsidR="00065CC5">
        <w:rPr>
          <w:rFonts w:ascii="Myriad Pro" w:eastAsiaTheme="minorHAnsi" w:hAnsi="Myriad Pro" w:cstheme="minorBidi"/>
          <w:sz w:val="21"/>
          <w:szCs w:val="24"/>
          <w:lang w:val="es-CL" w:eastAsia="en-US"/>
        </w:rPr>
        <w:t>,</w:t>
      </w:r>
      <w:r w:rsidRPr="0092021B">
        <w:rPr>
          <w:rFonts w:ascii="Myriad Pro" w:eastAsiaTheme="minorHAnsi" w:hAnsi="Myriad Pro" w:cstheme="minorBidi"/>
          <w:sz w:val="21"/>
          <w:szCs w:val="24"/>
          <w:lang w:val="es-CL" w:eastAsia="en-US"/>
        </w:rPr>
        <w:t xml:space="preserve"> al situarse en $ </w:t>
      </w:r>
      <w:r w:rsidR="0092021B" w:rsidRPr="0092021B">
        <w:rPr>
          <w:rFonts w:ascii="Myriad Pro" w:eastAsiaTheme="minorHAnsi" w:hAnsi="Myriad Pro" w:cstheme="minorBidi"/>
          <w:sz w:val="21"/>
          <w:szCs w:val="24"/>
          <w:lang w:val="es-CL" w:eastAsia="en-US"/>
        </w:rPr>
        <w:t xml:space="preserve">7.787 </w:t>
      </w:r>
      <w:r w:rsidR="004A4D20" w:rsidRPr="0092021B">
        <w:rPr>
          <w:rFonts w:ascii="Myriad Pro" w:eastAsiaTheme="minorHAnsi" w:hAnsi="Myriad Pro" w:cstheme="minorBidi"/>
          <w:sz w:val="21"/>
          <w:szCs w:val="24"/>
          <w:lang w:val="es-CL" w:eastAsia="en-US"/>
        </w:rPr>
        <w:t>m</w:t>
      </w:r>
      <w:r w:rsidRPr="0092021B">
        <w:rPr>
          <w:rFonts w:ascii="Myriad Pro" w:eastAsiaTheme="minorHAnsi" w:hAnsi="Myriad Pro" w:cstheme="minorBidi"/>
          <w:sz w:val="21"/>
          <w:szCs w:val="24"/>
          <w:lang w:val="es-CL" w:eastAsia="en-US"/>
        </w:rPr>
        <w:t>illones.</w:t>
      </w:r>
      <w:r w:rsidRPr="00C249C8">
        <w:rPr>
          <w:rFonts w:ascii="Myriad Pro" w:eastAsiaTheme="minorHAnsi" w:hAnsi="Myriad Pro" w:cstheme="minorBidi"/>
          <w:sz w:val="21"/>
          <w:szCs w:val="24"/>
          <w:lang w:val="es-CL" w:eastAsia="en-US"/>
        </w:rPr>
        <w:t xml:space="preserve"> Las ganancias del ejercicio </w:t>
      </w:r>
      <w:r w:rsidR="00E34140">
        <w:rPr>
          <w:rFonts w:ascii="Myriad Pro" w:eastAsiaTheme="minorHAnsi" w:hAnsi="Myriad Pro" w:cstheme="minorBidi"/>
          <w:sz w:val="21"/>
          <w:szCs w:val="24"/>
          <w:lang w:val="es-CL" w:eastAsia="en-US"/>
        </w:rPr>
        <w:t>se incrementaron</w:t>
      </w:r>
      <w:r w:rsidRPr="00C249C8">
        <w:rPr>
          <w:rFonts w:ascii="Myriad Pro" w:eastAsiaTheme="minorHAnsi" w:hAnsi="Myriad Pro" w:cstheme="minorBidi"/>
          <w:sz w:val="21"/>
          <w:szCs w:val="24"/>
          <w:lang w:val="es-CL" w:eastAsia="en-US"/>
        </w:rPr>
        <w:t xml:space="preserve"> en </w:t>
      </w:r>
      <w:r w:rsidR="009006B9" w:rsidRPr="00C249C8">
        <w:rPr>
          <w:rFonts w:ascii="Myriad Pro" w:eastAsiaTheme="minorHAnsi" w:hAnsi="Myriad Pro" w:cstheme="minorBidi"/>
          <w:sz w:val="21"/>
          <w:szCs w:val="24"/>
          <w:lang w:val="es-CL" w:eastAsia="en-US"/>
        </w:rPr>
        <w:t>14</w:t>
      </w:r>
      <w:r w:rsidRPr="00C249C8">
        <w:rPr>
          <w:rFonts w:ascii="Myriad Pro" w:eastAsiaTheme="minorHAnsi" w:hAnsi="Myriad Pro" w:cstheme="minorBidi"/>
          <w:sz w:val="21"/>
          <w:szCs w:val="24"/>
          <w:lang w:val="es-CL" w:eastAsia="en-US"/>
        </w:rPr>
        <w:t>4,</w:t>
      </w:r>
      <w:r w:rsidR="009006B9" w:rsidRPr="00C249C8">
        <w:rPr>
          <w:rFonts w:ascii="Myriad Pro" w:eastAsiaTheme="minorHAnsi" w:hAnsi="Myriad Pro" w:cstheme="minorBidi"/>
          <w:sz w:val="21"/>
          <w:szCs w:val="24"/>
          <w:lang w:val="es-CL" w:eastAsia="en-US"/>
        </w:rPr>
        <w:t>7</w:t>
      </w:r>
      <w:r w:rsidRPr="00C249C8">
        <w:rPr>
          <w:rFonts w:ascii="Myriad Pro" w:eastAsiaTheme="minorHAnsi" w:hAnsi="Myriad Pro" w:cstheme="minorBidi"/>
          <w:sz w:val="21"/>
          <w:szCs w:val="24"/>
          <w:lang w:val="es-CL" w:eastAsia="en-US"/>
        </w:rPr>
        <w:t>% totalizando</w:t>
      </w:r>
      <w:r w:rsidR="00C249C8" w:rsidRPr="00C249C8">
        <w:rPr>
          <w:rFonts w:ascii="Myriad Pro" w:eastAsiaTheme="minorHAnsi" w:hAnsi="Myriad Pro" w:cstheme="minorBidi"/>
          <w:sz w:val="21"/>
          <w:szCs w:val="24"/>
          <w:lang w:val="es-CL" w:eastAsia="en-US"/>
        </w:rPr>
        <w:t xml:space="preserve"> $</w:t>
      </w:r>
      <w:r w:rsidRPr="00C249C8">
        <w:rPr>
          <w:rFonts w:ascii="Myriad Pro" w:eastAsiaTheme="minorHAnsi" w:hAnsi="Myriad Pro" w:cstheme="minorBidi"/>
          <w:sz w:val="21"/>
          <w:szCs w:val="24"/>
          <w:lang w:val="es-CL" w:eastAsia="en-US"/>
        </w:rPr>
        <w:t xml:space="preserve"> </w:t>
      </w:r>
      <w:r w:rsidR="00C249C8" w:rsidRPr="00C249C8">
        <w:rPr>
          <w:rFonts w:ascii="Myriad Pro" w:eastAsiaTheme="minorHAnsi" w:hAnsi="Myriad Pro" w:cstheme="minorBidi"/>
          <w:sz w:val="21"/>
          <w:szCs w:val="24"/>
          <w:lang w:val="es-CL" w:eastAsia="en-US"/>
        </w:rPr>
        <w:t xml:space="preserve">3.746 </w:t>
      </w:r>
      <w:r w:rsidRPr="00C249C8">
        <w:rPr>
          <w:rFonts w:ascii="Myriad Pro" w:eastAsiaTheme="minorHAnsi" w:hAnsi="Myriad Pro" w:cstheme="minorBidi"/>
          <w:sz w:val="21"/>
          <w:szCs w:val="24"/>
          <w:lang w:val="es-CL" w:eastAsia="en-US"/>
        </w:rPr>
        <w:t>millones.</w:t>
      </w:r>
    </w:p>
    <w:p w14:paraId="5C2D4221" w14:textId="77777777" w:rsidR="004A6C54" w:rsidRDefault="004A6C54" w:rsidP="004A6C54">
      <w:pPr>
        <w:pStyle w:val="Textonotapie"/>
        <w:tabs>
          <w:tab w:val="left" w:pos="720"/>
        </w:tabs>
        <w:spacing w:after="120"/>
        <w:jc w:val="both"/>
        <w:rPr>
          <w:rFonts w:ascii="Myriad Pro" w:eastAsiaTheme="minorHAnsi" w:hAnsi="Myriad Pro" w:cstheme="minorBidi"/>
          <w:sz w:val="21"/>
          <w:szCs w:val="24"/>
          <w:lang w:val="es-CL" w:eastAsia="en-US"/>
        </w:rPr>
      </w:pPr>
    </w:p>
    <w:p w14:paraId="4324C186" w14:textId="19E50276" w:rsidR="005B157C" w:rsidRPr="00F305AA" w:rsidRDefault="005B157C" w:rsidP="00830F97">
      <w:pPr>
        <w:pStyle w:val="Ttulo"/>
        <w:rPr>
          <w:rFonts w:eastAsia="Times New Roman"/>
          <w:lang w:val="es-ES" w:eastAsia="es-ES"/>
        </w:rPr>
      </w:pPr>
      <w:r w:rsidRPr="00F305AA">
        <w:rPr>
          <w:rFonts w:eastAsia="Times New Roman"/>
          <w:lang w:val="es-ES" w:eastAsia="es-ES"/>
        </w:rPr>
        <w:t xml:space="preserve">Resultados </w:t>
      </w:r>
      <w:r>
        <w:rPr>
          <w:rFonts w:eastAsia="Times New Roman"/>
          <w:lang w:val="es-ES" w:eastAsia="es-ES"/>
        </w:rPr>
        <w:t>junio 2021</w:t>
      </w:r>
    </w:p>
    <w:p w14:paraId="42D683A3" w14:textId="04E7A753" w:rsidR="00A61A65" w:rsidRDefault="00784148" w:rsidP="00830F97">
      <w:pPr>
        <w:spacing w:after="120"/>
        <w:jc w:val="both"/>
        <w:rPr>
          <w:highlight w:val="yellow"/>
        </w:rPr>
      </w:pPr>
      <w:r w:rsidRPr="00964AB9">
        <w:t xml:space="preserve">Las ventas durante el </w:t>
      </w:r>
      <w:r w:rsidRPr="00E5674E">
        <w:t>primer semestre de 2021 alcanzaron</w:t>
      </w:r>
      <w:r w:rsidR="00E5674E" w:rsidRPr="00E5674E">
        <w:t xml:space="preserve"> los</w:t>
      </w:r>
      <w:r w:rsidRPr="00E5674E">
        <w:t xml:space="preserve"> $ </w:t>
      </w:r>
      <w:r w:rsidR="00E5674E" w:rsidRPr="00E5674E">
        <w:t xml:space="preserve">73.065 </w:t>
      </w:r>
      <w:r w:rsidRPr="00E5674E">
        <w:t>millones</w:t>
      </w:r>
      <w:r w:rsidRPr="00E90E75">
        <w:t>, lo que representa un alza de 7</w:t>
      </w:r>
      <w:r w:rsidR="00A46841" w:rsidRPr="00E90E75">
        <w:t>9,2</w:t>
      </w:r>
      <w:r w:rsidRPr="00E90E75">
        <w:t xml:space="preserve">% respecto del mismo periodo del </w:t>
      </w:r>
      <w:r w:rsidRPr="00CC5B4B">
        <w:t xml:space="preserve">año anterior. Este aumento obedece </w:t>
      </w:r>
      <w:r w:rsidR="00A61A65" w:rsidRPr="00CC5B4B">
        <w:t xml:space="preserve">en parte a la mayor liquidez que ha presentado el mercado objetivo </w:t>
      </w:r>
      <w:r w:rsidR="00CC5B4B" w:rsidRPr="00CC5B4B">
        <w:t>por las medidas del gobierno para mitigar los efectos de la crisis sanitaria.</w:t>
      </w:r>
    </w:p>
    <w:p w14:paraId="1E14C2FC" w14:textId="47E19741" w:rsidR="00784148" w:rsidRPr="00784148" w:rsidRDefault="00784148" w:rsidP="00830F97">
      <w:pPr>
        <w:spacing w:after="120"/>
        <w:jc w:val="both"/>
      </w:pPr>
      <w:r w:rsidRPr="00E13162">
        <w:lastRenderedPageBreak/>
        <w:t>El costo de venta alcanzó</w:t>
      </w:r>
      <w:r w:rsidR="00F516A8">
        <w:t xml:space="preserve"> </w:t>
      </w:r>
      <w:r w:rsidRPr="00E13162">
        <w:t xml:space="preserve">$ </w:t>
      </w:r>
      <w:r w:rsidR="00E13162" w:rsidRPr="00E13162">
        <w:t xml:space="preserve">42.656 </w:t>
      </w:r>
      <w:r w:rsidRPr="00234AE0">
        <w:t xml:space="preserve">millones, exhibiendo un alza de </w:t>
      </w:r>
      <w:r w:rsidR="00234AE0" w:rsidRPr="00234AE0">
        <w:t>79</w:t>
      </w:r>
      <w:r w:rsidRPr="00234AE0">
        <w:t>,</w:t>
      </w:r>
      <w:r w:rsidR="00234AE0" w:rsidRPr="00234AE0">
        <w:t>4</w:t>
      </w:r>
      <w:r w:rsidRPr="00234AE0">
        <w:t xml:space="preserve">% respecto del primer semestre de 2020. </w:t>
      </w:r>
      <w:r w:rsidRPr="00BA2D30">
        <w:t xml:space="preserve">Los gastos de administración </w:t>
      </w:r>
      <w:r w:rsidRPr="009431D8">
        <w:t>presentaron un aumento de 3</w:t>
      </w:r>
      <w:r w:rsidR="00BA2D30" w:rsidRPr="009431D8">
        <w:t>4,5</w:t>
      </w:r>
      <w:r w:rsidRPr="009431D8">
        <w:t xml:space="preserve">% respecto del mismo período del año pasado totalizando $ </w:t>
      </w:r>
      <w:r w:rsidR="00BA2D30" w:rsidRPr="009431D8">
        <w:t xml:space="preserve">18.423 </w:t>
      </w:r>
      <w:r w:rsidRPr="009431D8">
        <w:t xml:space="preserve">millones. De esta manera, la compañía registró un crecimiento </w:t>
      </w:r>
      <w:r w:rsidR="00E04446" w:rsidRPr="009431D8">
        <w:t xml:space="preserve">relevante </w:t>
      </w:r>
      <w:r w:rsidRPr="009431D8">
        <w:t xml:space="preserve">de sus utilidades </w:t>
      </w:r>
      <w:r w:rsidR="00E04446" w:rsidRPr="009431D8">
        <w:t>con respecto a la pérdida de $ 31 millones</w:t>
      </w:r>
      <w:r w:rsidR="009431D8" w:rsidRPr="009431D8">
        <w:t xml:space="preserve"> del mismo periodo anterior</w:t>
      </w:r>
      <w:r w:rsidRPr="009431D8">
        <w:t>,</w:t>
      </w:r>
      <w:r w:rsidR="009431D8" w:rsidRPr="009431D8">
        <w:t xml:space="preserve"> alcanzando los </w:t>
      </w:r>
      <w:r w:rsidRPr="009431D8">
        <w:t>$</w:t>
      </w:r>
      <w:r w:rsidR="00F516A8">
        <w:t xml:space="preserve"> </w:t>
      </w:r>
      <w:r w:rsidR="009431D8" w:rsidRPr="009431D8">
        <w:t xml:space="preserve">11.675 </w:t>
      </w:r>
      <w:r w:rsidRPr="009431D8">
        <w:t>millones.</w:t>
      </w:r>
      <w:r w:rsidR="00963776">
        <w:t xml:space="preserve"> </w:t>
      </w:r>
    </w:p>
    <w:p w14:paraId="5749BEAC" w14:textId="77777777" w:rsidR="005B157C" w:rsidRDefault="005B157C" w:rsidP="00830F97">
      <w:pPr>
        <w:tabs>
          <w:tab w:val="left" w:pos="0"/>
          <w:tab w:val="left" w:pos="11160"/>
        </w:tabs>
        <w:spacing w:after="120"/>
        <w:jc w:val="both"/>
      </w:pPr>
    </w:p>
    <w:p w14:paraId="287D4E48" w14:textId="7FBA550D" w:rsidR="000E3499" w:rsidRPr="000E3499" w:rsidRDefault="000E3499" w:rsidP="00830F97">
      <w:pPr>
        <w:pStyle w:val="Ttulo1"/>
        <w:rPr>
          <w:lang w:val="es-ES"/>
        </w:rPr>
      </w:pPr>
      <w:r w:rsidRPr="000E3499">
        <w:rPr>
          <w:lang w:val="es-ES"/>
        </w:rPr>
        <w:t xml:space="preserve">Definición de </w:t>
      </w:r>
      <w:r w:rsidR="00830F97">
        <w:rPr>
          <w:lang w:val="es-ES"/>
        </w:rPr>
        <w:t>c</w:t>
      </w:r>
      <w:r w:rsidRPr="000E3499">
        <w:rPr>
          <w:lang w:val="es-ES"/>
        </w:rPr>
        <w:t xml:space="preserve">ategoría de </w:t>
      </w:r>
      <w:r w:rsidR="00830F97">
        <w:rPr>
          <w:lang w:val="es-ES"/>
        </w:rPr>
        <w:t>r</w:t>
      </w:r>
      <w:r w:rsidRPr="000E3499">
        <w:rPr>
          <w:lang w:val="es-ES"/>
        </w:rPr>
        <w:t>iesgo</w:t>
      </w:r>
    </w:p>
    <w:p w14:paraId="19E7B194" w14:textId="09A74C94" w:rsidR="000E3499" w:rsidRPr="00A90A48" w:rsidRDefault="000E3499" w:rsidP="00830F97">
      <w:pPr>
        <w:pStyle w:val="Ttulo"/>
        <w:contextualSpacing w:val="0"/>
      </w:pPr>
      <w:r w:rsidRPr="00A90A48">
        <w:t>Categoría A</w:t>
      </w:r>
    </w:p>
    <w:p w14:paraId="7120E084" w14:textId="4DA6C02F" w:rsidR="00C67A17" w:rsidRDefault="00C67A17" w:rsidP="00830F97">
      <w:pPr>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after="120"/>
        <w:jc w:val="both"/>
      </w:pPr>
      <w:r w:rsidRPr="00A90A48">
        <w:t xml:space="preserve">Corresponde a aquellos instrumentos que cuentan con una muy alta capacidad de pago del capital e intereses en los términos y plazos pactados, la cual no se vería afectada en forma significativa, ante posibles cambios en el emisor, en la industria a que pertenece o en la economía. </w:t>
      </w:r>
    </w:p>
    <w:p w14:paraId="1127ABE2" w14:textId="77777777" w:rsidR="00830F97" w:rsidRPr="00A90A48" w:rsidRDefault="00830F97" w:rsidP="00830F97">
      <w:pPr>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after="120"/>
        <w:jc w:val="both"/>
      </w:pPr>
    </w:p>
    <w:p w14:paraId="5635AE5C" w14:textId="66610C32" w:rsidR="00C510C4" w:rsidRPr="00830F97" w:rsidRDefault="007615B3" w:rsidP="00830F97">
      <w:pPr>
        <w:pStyle w:val="Ttulo"/>
        <w:contextualSpacing w:val="0"/>
      </w:pPr>
      <w:r w:rsidRPr="00A90A48">
        <w:t xml:space="preserve">Tendencia </w:t>
      </w:r>
      <w:r w:rsidR="00C510C4" w:rsidRPr="00A90A48">
        <w:t>Estable</w:t>
      </w:r>
    </w:p>
    <w:p w14:paraId="646EE22D" w14:textId="2A5DC7F0" w:rsidR="00C510C4" w:rsidRDefault="00C510C4" w:rsidP="00E408EB">
      <w:pPr>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after="120"/>
        <w:jc w:val="both"/>
      </w:pPr>
      <w:r w:rsidRPr="00A90A48">
        <w:t>Corresponde a aquella clasificación que cuenta con una alta probabilidad de no presentar variaciones a futuro.</w:t>
      </w:r>
    </w:p>
    <w:p w14:paraId="6ACC1189" w14:textId="77777777" w:rsidR="00830F97" w:rsidRDefault="00830F97" w:rsidP="00E408EB">
      <w:pPr>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after="120"/>
        <w:jc w:val="both"/>
      </w:pPr>
    </w:p>
    <w:p w14:paraId="0EF54D1E" w14:textId="17A53226" w:rsidR="00C11B97" w:rsidRDefault="00C11B97" w:rsidP="00830F97">
      <w:pPr>
        <w:pStyle w:val="Ttulo1"/>
        <w:rPr>
          <w:lang w:val="es-ES"/>
        </w:rPr>
      </w:pPr>
      <w:r>
        <w:rPr>
          <w:lang w:val="es-ES"/>
        </w:rPr>
        <w:t>Oportunidades y fortalezas</w:t>
      </w:r>
    </w:p>
    <w:p w14:paraId="0DE45755" w14:textId="0287822F" w:rsidR="004264E6" w:rsidRDefault="00B57FDA" w:rsidP="00830F97">
      <w:pPr>
        <w:pStyle w:val="Textoindependiente3"/>
        <w:tabs>
          <w:tab w:val="left" w:pos="567"/>
          <w:tab w:val="left" w:pos="1440"/>
          <w:tab w:val="left" w:pos="2160"/>
          <w:tab w:val="left" w:pos="2880"/>
          <w:tab w:val="left" w:pos="3600"/>
          <w:tab w:val="left" w:pos="4320"/>
          <w:tab w:val="left" w:pos="5040"/>
          <w:tab w:val="left" w:pos="5760"/>
          <w:tab w:val="left" w:pos="6480"/>
          <w:tab w:val="left" w:pos="7200"/>
          <w:tab w:val="left" w:pos="7920"/>
        </w:tabs>
        <w:suppressAutoHyphens/>
        <w:jc w:val="both"/>
        <w:rPr>
          <w:rFonts w:ascii="Verdana" w:hAnsi="Verdana"/>
          <w:sz w:val="18"/>
          <w:szCs w:val="18"/>
          <w:highlight w:val="yellow"/>
        </w:rPr>
      </w:pPr>
      <w:r>
        <w:rPr>
          <w:rFonts w:ascii="Myriad Pro Light" w:eastAsiaTheme="majorEastAsia" w:hAnsi="Myriad Pro Light" w:cstheme="majorBidi"/>
          <w:b/>
          <w:spacing w:val="-10"/>
          <w:kern w:val="28"/>
          <w:sz w:val="28"/>
          <w:szCs w:val="56"/>
        </w:rPr>
        <w:t>E</w:t>
      </w:r>
      <w:r w:rsidRPr="00B57FDA">
        <w:rPr>
          <w:rFonts w:ascii="Myriad Pro Light" w:eastAsiaTheme="majorEastAsia" w:hAnsi="Myriad Pro Light" w:cstheme="majorBidi"/>
          <w:b/>
          <w:spacing w:val="-10"/>
          <w:kern w:val="28"/>
          <w:sz w:val="28"/>
          <w:szCs w:val="56"/>
        </w:rPr>
        <w:t xml:space="preserve">xtensa red de </w:t>
      </w:r>
      <w:r w:rsidRPr="004264E6">
        <w:rPr>
          <w:rFonts w:ascii="Myriad Pro Light" w:eastAsiaTheme="majorEastAsia" w:hAnsi="Myriad Pro Light" w:cstheme="majorBidi"/>
          <w:b/>
          <w:spacing w:val="-10"/>
          <w:kern w:val="28"/>
          <w:sz w:val="28"/>
          <w:szCs w:val="56"/>
        </w:rPr>
        <w:t>comercialización</w:t>
      </w:r>
      <w:r w:rsidR="00941B51" w:rsidRPr="004264E6">
        <w:rPr>
          <w:rFonts w:ascii="Myriad Pro Light" w:eastAsiaTheme="majorEastAsia" w:hAnsi="Myriad Pro Light" w:cstheme="majorBidi"/>
          <w:b/>
          <w:spacing w:val="-10"/>
          <w:kern w:val="28"/>
          <w:sz w:val="28"/>
          <w:szCs w:val="56"/>
        </w:rPr>
        <w:t>:</w:t>
      </w:r>
      <w:r w:rsidR="00941B51" w:rsidRPr="004264E6">
        <w:rPr>
          <w:rFonts w:ascii="Verdana" w:hAnsi="Verdana"/>
          <w:sz w:val="18"/>
          <w:szCs w:val="18"/>
        </w:rPr>
        <w:t xml:space="preserve"> </w:t>
      </w:r>
      <w:r w:rsidR="004B41E1" w:rsidRPr="00830F97">
        <w:rPr>
          <w:b/>
          <w:bCs/>
          <w:sz w:val="21"/>
          <w:szCs w:val="21"/>
        </w:rPr>
        <w:t>MK</w:t>
      </w:r>
      <w:r w:rsidR="004264E6" w:rsidRPr="00830F97">
        <w:rPr>
          <w:sz w:val="21"/>
          <w:szCs w:val="21"/>
        </w:rPr>
        <w:t xml:space="preserve"> </w:t>
      </w:r>
      <w:r w:rsidR="004264E6" w:rsidRPr="003E4B26">
        <w:rPr>
          <w:sz w:val="21"/>
          <w:szCs w:val="24"/>
        </w:rPr>
        <w:t xml:space="preserve">administra una red de doce </w:t>
      </w:r>
      <w:r w:rsidR="004264E6" w:rsidRPr="007A0222">
        <w:rPr>
          <w:i/>
          <w:iCs/>
          <w:sz w:val="21"/>
          <w:szCs w:val="24"/>
        </w:rPr>
        <w:t>showrooms</w:t>
      </w:r>
      <w:r w:rsidR="003E4B26" w:rsidRPr="003E4B26">
        <w:rPr>
          <w:sz w:val="21"/>
          <w:szCs w:val="24"/>
        </w:rPr>
        <w:t xml:space="preserve"> (atendidos por equipos técnicos altamente calificados, que </w:t>
      </w:r>
      <w:r w:rsidR="00370733">
        <w:rPr>
          <w:sz w:val="21"/>
          <w:szCs w:val="24"/>
        </w:rPr>
        <w:t>ofrecen</w:t>
      </w:r>
      <w:r w:rsidR="003E4B26" w:rsidRPr="003E4B26">
        <w:rPr>
          <w:sz w:val="21"/>
          <w:szCs w:val="24"/>
        </w:rPr>
        <w:t xml:space="preserve"> asesoría experta)</w:t>
      </w:r>
      <w:r w:rsidR="004264E6" w:rsidRPr="003E4B26">
        <w:rPr>
          <w:sz w:val="21"/>
          <w:szCs w:val="24"/>
        </w:rPr>
        <w:t xml:space="preserve">, cuatro </w:t>
      </w:r>
      <w:r w:rsidR="004264E6" w:rsidRPr="007A0222">
        <w:rPr>
          <w:i/>
          <w:iCs/>
          <w:sz w:val="21"/>
          <w:szCs w:val="24"/>
        </w:rPr>
        <w:t>outlets</w:t>
      </w:r>
      <w:r w:rsidR="004264E6" w:rsidRPr="003E4B26">
        <w:rPr>
          <w:sz w:val="21"/>
          <w:szCs w:val="24"/>
        </w:rPr>
        <w:t xml:space="preserve"> y un centro de distribución, que le permite ofrecer sus productos desde Arica a Chiloé</w:t>
      </w:r>
      <w:r w:rsidR="00592940" w:rsidRPr="003E4B26">
        <w:rPr>
          <w:sz w:val="21"/>
          <w:szCs w:val="24"/>
        </w:rPr>
        <w:t xml:space="preserve">. Adicionalmente, la compañía cuenta con </w:t>
      </w:r>
      <w:r w:rsidR="00CA412B" w:rsidRPr="003E4B26">
        <w:rPr>
          <w:sz w:val="21"/>
          <w:szCs w:val="24"/>
        </w:rPr>
        <w:t xml:space="preserve">venta no presencial a través de </w:t>
      </w:r>
      <w:r w:rsidR="00CA412B" w:rsidRPr="00A257BE">
        <w:rPr>
          <w:i/>
          <w:iCs/>
          <w:sz w:val="21"/>
          <w:szCs w:val="24"/>
        </w:rPr>
        <w:t>e-</w:t>
      </w:r>
      <w:proofErr w:type="spellStart"/>
      <w:r w:rsidR="00CA412B" w:rsidRPr="00A257BE">
        <w:rPr>
          <w:i/>
          <w:iCs/>
          <w:sz w:val="21"/>
          <w:szCs w:val="24"/>
        </w:rPr>
        <w:t>commerce</w:t>
      </w:r>
      <w:proofErr w:type="spellEnd"/>
      <w:r w:rsidR="00CA412B" w:rsidRPr="003E4B26">
        <w:rPr>
          <w:sz w:val="21"/>
          <w:szCs w:val="24"/>
        </w:rPr>
        <w:t xml:space="preserve">, venta telefónica y </w:t>
      </w:r>
      <w:r w:rsidR="00A5383E" w:rsidRPr="003E4B26">
        <w:rPr>
          <w:sz w:val="21"/>
          <w:szCs w:val="24"/>
        </w:rPr>
        <w:t xml:space="preserve">venta a distribuidores que participan </w:t>
      </w:r>
      <w:bookmarkStart w:id="1" w:name="_Hlk83223525"/>
      <w:r w:rsidR="00A5383E" w:rsidRPr="003E4B26">
        <w:rPr>
          <w:sz w:val="21"/>
          <w:szCs w:val="24"/>
        </w:rPr>
        <w:t xml:space="preserve">en </w:t>
      </w:r>
      <w:bookmarkStart w:id="2" w:name="_Hlk83223512"/>
      <w:proofErr w:type="spellStart"/>
      <w:r w:rsidR="00A5383E" w:rsidRPr="007A0222">
        <w:rPr>
          <w:i/>
          <w:iCs/>
          <w:sz w:val="21"/>
          <w:szCs w:val="24"/>
        </w:rPr>
        <w:t>retail</w:t>
      </w:r>
      <w:proofErr w:type="spellEnd"/>
      <w:r w:rsidR="00CA412B" w:rsidRPr="003E4B26">
        <w:rPr>
          <w:sz w:val="21"/>
          <w:szCs w:val="24"/>
        </w:rPr>
        <w:t>.</w:t>
      </w:r>
      <w:bookmarkEnd w:id="1"/>
      <w:bookmarkEnd w:id="2"/>
    </w:p>
    <w:p w14:paraId="5A62764F" w14:textId="713103E6" w:rsidR="004B15B2" w:rsidRDefault="00B57FDA" w:rsidP="00830F97">
      <w:pPr>
        <w:tabs>
          <w:tab w:val="left" w:pos="0"/>
          <w:tab w:val="left" w:pos="540"/>
          <w:tab w:val="left" w:pos="720"/>
        </w:tabs>
        <w:spacing w:after="120"/>
        <w:jc w:val="both"/>
      </w:pPr>
      <w:r w:rsidRPr="00B57FDA">
        <w:rPr>
          <w:rFonts w:ascii="Myriad Pro Light" w:eastAsiaTheme="majorEastAsia" w:hAnsi="Myriad Pro Light" w:cstheme="majorBidi"/>
          <w:b/>
          <w:spacing w:val="-10"/>
          <w:kern w:val="28"/>
          <w:sz w:val="28"/>
          <w:szCs w:val="56"/>
        </w:rPr>
        <w:t xml:space="preserve">Amplio </w:t>
      </w:r>
      <w:proofErr w:type="spellStart"/>
      <w:r w:rsidRPr="00A14C1D">
        <w:rPr>
          <w:rFonts w:ascii="Myriad Pro Light" w:eastAsiaTheme="majorEastAsia" w:hAnsi="Myriad Pro Light" w:cstheme="majorBidi"/>
          <w:b/>
          <w:i/>
          <w:iCs/>
          <w:spacing w:val="-10"/>
          <w:kern w:val="28"/>
          <w:sz w:val="28"/>
          <w:szCs w:val="56"/>
        </w:rPr>
        <w:t>mix</w:t>
      </w:r>
      <w:proofErr w:type="spellEnd"/>
      <w:r w:rsidRPr="00A14C1D">
        <w:rPr>
          <w:rFonts w:ascii="Myriad Pro Light" w:eastAsiaTheme="majorEastAsia" w:hAnsi="Myriad Pro Light" w:cstheme="majorBidi"/>
          <w:b/>
          <w:i/>
          <w:iCs/>
          <w:spacing w:val="-10"/>
          <w:kern w:val="28"/>
          <w:sz w:val="28"/>
          <w:szCs w:val="56"/>
        </w:rPr>
        <w:t xml:space="preserve"> </w:t>
      </w:r>
      <w:r w:rsidRPr="00B57FDA">
        <w:rPr>
          <w:rFonts w:ascii="Myriad Pro Light" w:eastAsiaTheme="majorEastAsia" w:hAnsi="Myriad Pro Light" w:cstheme="majorBidi"/>
          <w:b/>
          <w:spacing w:val="-10"/>
          <w:kern w:val="28"/>
          <w:sz w:val="28"/>
          <w:szCs w:val="56"/>
        </w:rPr>
        <w:t>de productos de mejoramiento del hogar</w:t>
      </w:r>
      <w:r w:rsidR="00E31050">
        <w:t xml:space="preserve">: La </w:t>
      </w:r>
      <w:r w:rsidR="00747879">
        <w:t>empresa</w:t>
      </w:r>
      <w:r w:rsidR="00E31050">
        <w:t xml:space="preserve"> ofrece una amplia gama de insumos de mejoramiento del hogar que abarca una solución completa para proyectos. </w:t>
      </w:r>
      <w:r w:rsidR="000E7E32">
        <w:t xml:space="preserve">Los productos que </w:t>
      </w:r>
      <w:r w:rsidR="008D1232">
        <w:t>vende se clasifican en cuatro</w:t>
      </w:r>
      <w:r w:rsidR="002103E0">
        <w:t xml:space="preserve"> categorías</w:t>
      </w:r>
      <w:r w:rsidR="008D1232">
        <w:t xml:space="preserve">: </w:t>
      </w:r>
      <w:r w:rsidR="00E31050">
        <w:t>pisos duros</w:t>
      </w:r>
      <w:r w:rsidR="00B522CD">
        <w:t xml:space="preserve"> (cerámica, </w:t>
      </w:r>
      <w:r w:rsidR="00B522CD" w:rsidRPr="005A57EB">
        <w:t>porcelanato</w:t>
      </w:r>
      <w:r w:rsidR="00B522CD">
        <w:t xml:space="preserve"> y piedra)</w:t>
      </w:r>
      <w:r w:rsidR="00E31050">
        <w:t>, pisos blandos</w:t>
      </w:r>
      <w:r w:rsidR="00B522CD">
        <w:t xml:space="preserve"> (</w:t>
      </w:r>
      <w:r w:rsidR="003E3C34">
        <w:t xml:space="preserve">madera, vinílico, </w:t>
      </w:r>
      <w:r w:rsidR="000E2C00">
        <w:t xml:space="preserve">caucho, </w:t>
      </w:r>
      <w:r w:rsidR="003E3C34">
        <w:t>entre otros)</w:t>
      </w:r>
      <w:r w:rsidR="00E31050">
        <w:t>, hidrosanitarios</w:t>
      </w:r>
      <w:r w:rsidR="0005608B">
        <w:t xml:space="preserve"> (muebles, espejos, toallero, grifo de baño, e</w:t>
      </w:r>
      <w:r w:rsidR="0031209E">
        <w:t>ntre otros</w:t>
      </w:r>
      <w:r w:rsidR="0005608B">
        <w:t>)</w:t>
      </w:r>
      <w:r w:rsidR="00E31050">
        <w:t xml:space="preserve"> y muebles de cocina.</w:t>
      </w:r>
    </w:p>
    <w:p w14:paraId="4FF1063C" w14:textId="1CA15979" w:rsidR="00E31050" w:rsidRDefault="0078572F" w:rsidP="00830F97">
      <w:pPr>
        <w:tabs>
          <w:tab w:val="left" w:pos="0"/>
          <w:tab w:val="left" w:pos="540"/>
          <w:tab w:val="left" w:pos="720"/>
        </w:tabs>
        <w:spacing w:after="120"/>
        <w:jc w:val="both"/>
      </w:pPr>
      <w:r>
        <w:t>En la misma línea,</w:t>
      </w:r>
      <w:r w:rsidR="00D06F24">
        <w:t xml:space="preserve"> </w:t>
      </w:r>
      <w:r w:rsidR="003243A4">
        <w:t xml:space="preserve">destacan los esfuerzos de la compañía por diversificar </w:t>
      </w:r>
      <w:r w:rsidR="000E2C00">
        <w:t>su</w:t>
      </w:r>
      <w:r w:rsidR="003243A4">
        <w:t xml:space="preserve"> oferta de productos, considerando que </w:t>
      </w:r>
      <w:r>
        <w:t xml:space="preserve">ha migrado desde ofrecer </w:t>
      </w:r>
      <w:r w:rsidR="00DF363F">
        <w:t>productos en la categoría de</w:t>
      </w:r>
      <w:r w:rsidR="00C22951">
        <w:t xml:space="preserve"> pisos duros a </w:t>
      </w:r>
      <w:r w:rsidR="006D7BCC">
        <w:t>soluciones para</w:t>
      </w:r>
      <w:r w:rsidR="00F32C2B">
        <w:t xml:space="preserve"> abarcar un</w:t>
      </w:r>
      <w:r w:rsidR="00C22951">
        <w:t xml:space="preserve"> proyecto completo. En los hechos, un </w:t>
      </w:r>
      <w:r w:rsidR="00E06700" w:rsidRPr="00E06700">
        <w:t xml:space="preserve">57% </w:t>
      </w:r>
      <w:r w:rsidR="00F32C2B">
        <w:t xml:space="preserve">de las </w:t>
      </w:r>
      <w:r w:rsidR="00E06700" w:rsidRPr="00E06700">
        <w:t>ventas</w:t>
      </w:r>
      <w:r w:rsidR="00E06700">
        <w:t xml:space="preserve"> </w:t>
      </w:r>
      <w:r w:rsidR="00E02E03">
        <w:t>corresponden a</w:t>
      </w:r>
      <w:r w:rsidR="00E06700">
        <w:t xml:space="preserve"> pisos duros, un 20% </w:t>
      </w:r>
      <w:r w:rsidR="00E02E03">
        <w:t>a</w:t>
      </w:r>
      <w:r w:rsidR="00E06700">
        <w:t xml:space="preserve"> pisos blandos, un 19% </w:t>
      </w:r>
      <w:r w:rsidR="00E02E03">
        <w:t>a</w:t>
      </w:r>
      <w:r w:rsidR="00E06700">
        <w:t xml:space="preserve"> </w:t>
      </w:r>
      <w:r w:rsidR="004C04E6">
        <w:t xml:space="preserve">hidrosanitarios y un 4% </w:t>
      </w:r>
      <w:r w:rsidR="00E02E03">
        <w:t>a</w:t>
      </w:r>
      <w:r w:rsidR="004C04E6">
        <w:t xml:space="preserve"> cocina.</w:t>
      </w:r>
    </w:p>
    <w:p w14:paraId="7BE92FBD" w14:textId="76096398" w:rsidR="005B2CF1" w:rsidRDefault="00A14C1D" w:rsidP="00830F97">
      <w:pPr>
        <w:spacing w:after="120"/>
        <w:jc w:val="both"/>
      </w:pPr>
      <w:r w:rsidRPr="00A14C1D">
        <w:rPr>
          <w:rFonts w:ascii="Myriad Pro Light" w:eastAsiaTheme="majorEastAsia" w:hAnsi="Myriad Pro Light" w:cstheme="majorBidi"/>
          <w:b/>
          <w:spacing w:val="-10"/>
          <w:kern w:val="28"/>
          <w:sz w:val="28"/>
          <w:szCs w:val="56"/>
        </w:rPr>
        <w:t>Diversificación de clientes y proveedores:</w:t>
      </w:r>
      <w:r w:rsidR="00E43BCA" w:rsidRPr="00E43BCA">
        <w:t xml:space="preserve"> </w:t>
      </w:r>
      <w:r w:rsidR="00C6231C" w:rsidRPr="00830F97">
        <w:rPr>
          <w:b/>
          <w:bCs/>
          <w:szCs w:val="21"/>
        </w:rPr>
        <w:t xml:space="preserve">MK </w:t>
      </w:r>
      <w:r w:rsidR="00C6231C">
        <w:t>presenta una cartera de clientes</w:t>
      </w:r>
      <w:r w:rsidR="00DA2959">
        <w:t xml:space="preserve"> </w:t>
      </w:r>
      <w:r w:rsidR="00C6231C">
        <w:t>atomizada</w:t>
      </w:r>
      <w:r w:rsidR="00DA2959">
        <w:t xml:space="preserve">. </w:t>
      </w:r>
      <w:r w:rsidR="00C6231C">
        <w:t xml:space="preserve">Lo anterior se evidencia en no </w:t>
      </w:r>
      <w:r w:rsidR="00DA2959">
        <w:t>posee</w:t>
      </w:r>
      <w:r w:rsidR="00C6231C">
        <w:t xml:space="preserve"> transacciones</w:t>
      </w:r>
      <w:r w:rsidR="00136F67">
        <w:t xml:space="preserve"> con clientes que representen más del </w:t>
      </w:r>
      <w:r w:rsidR="005B2CF1">
        <w:t xml:space="preserve">4,5% </w:t>
      </w:r>
      <w:r w:rsidR="007642CB">
        <w:t>de los ingresos</w:t>
      </w:r>
      <w:r w:rsidR="000F087E">
        <w:t>.</w:t>
      </w:r>
      <w:r w:rsidR="007642CB">
        <w:t xml:space="preserve"> </w:t>
      </w:r>
      <w:r w:rsidR="000F087E">
        <w:t>E</w:t>
      </w:r>
      <w:r w:rsidR="007642CB">
        <w:t xml:space="preserve">ste elemento </w:t>
      </w:r>
      <w:proofErr w:type="gramStart"/>
      <w:r w:rsidR="007642CB">
        <w:t>reduce  el</w:t>
      </w:r>
      <w:proofErr w:type="gramEnd"/>
      <w:r w:rsidR="007642CB">
        <w:t xml:space="preserve"> impacto por pérdida de clientes relevantes y limita la exposición del patrimonio ante incumplimiento por parte de los deudores. </w:t>
      </w:r>
    </w:p>
    <w:p w14:paraId="2BF6C7BC" w14:textId="21F4A79B" w:rsidR="007642CB" w:rsidRDefault="00EA4B65" w:rsidP="00830F97">
      <w:pPr>
        <w:spacing w:after="120"/>
        <w:jc w:val="both"/>
      </w:pPr>
      <w:r>
        <w:t>Además</w:t>
      </w:r>
      <w:r w:rsidR="000F087E">
        <w:t>,</w:t>
      </w:r>
      <w:r w:rsidR="005B2CF1">
        <w:t xml:space="preserve"> la firma posee un</w:t>
      </w:r>
      <w:r w:rsidR="007642CB">
        <w:t>a amplia base de</w:t>
      </w:r>
      <w:r w:rsidR="001D1643">
        <w:t xml:space="preserve"> más de 155</w:t>
      </w:r>
      <w:r w:rsidR="007642CB">
        <w:t xml:space="preserve"> proveedores</w:t>
      </w:r>
      <w:r w:rsidR="001D1643">
        <w:t xml:space="preserve"> ubicados</w:t>
      </w:r>
      <w:r w:rsidR="00BB71C3">
        <w:t xml:space="preserve"> en </w:t>
      </w:r>
      <w:r w:rsidR="003A5C6D">
        <w:t>los cinco</w:t>
      </w:r>
      <w:r w:rsidR="007F4F73">
        <w:t xml:space="preserve"> continentes</w:t>
      </w:r>
      <w:r w:rsidR="003A5C6D">
        <w:t xml:space="preserve"> que permiten enfrentar de mejor manera complicaciones por origen o servicio naviero. </w:t>
      </w:r>
      <w:r w:rsidR="00967D29">
        <w:t>De esta manera, durante 2020</w:t>
      </w:r>
      <w:r w:rsidR="00041847">
        <w:t xml:space="preserve"> ning</w:t>
      </w:r>
      <w:r w:rsidR="00967D29">
        <w:t>ún proveedor</w:t>
      </w:r>
      <w:r w:rsidR="009F65D1">
        <w:t xml:space="preserve"> r</w:t>
      </w:r>
      <w:r w:rsidR="00041847">
        <w:t>epresentó más del 10% del costo de ventas.</w:t>
      </w:r>
      <w:r w:rsidR="00D4338A">
        <w:t xml:space="preserve"> </w:t>
      </w:r>
    </w:p>
    <w:p w14:paraId="63A56689" w14:textId="600BEBC5" w:rsidR="00875B40" w:rsidRPr="001A6F46" w:rsidRDefault="00A14C1D" w:rsidP="00830F97">
      <w:pPr>
        <w:spacing w:after="120"/>
        <w:jc w:val="both"/>
        <w:rPr>
          <w:rFonts w:ascii="Myriad Pro Light" w:eastAsiaTheme="majorEastAsia" w:hAnsi="Myriad Pro Light" w:cstheme="majorBidi"/>
          <w:b/>
          <w:spacing w:val="-10"/>
          <w:kern w:val="28"/>
          <w:sz w:val="28"/>
          <w:szCs w:val="56"/>
        </w:rPr>
      </w:pPr>
      <w:r w:rsidRPr="00A14C1D">
        <w:rPr>
          <w:rFonts w:ascii="Myriad Pro Light" w:eastAsiaTheme="majorEastAsia" w:hAnsi="Myriad Pro Light" w:cstheme="majorBidi"/>
          <w:b/>
          <w:spacing w:val="-10"/>
          <w:kern w:val="28"/>
          <w:sz w:val="28"/>
          <w:szCs w:val="56"/>
        </w:rPr>
        <w:lastRenderedPageBreak/>
        <w:t xml:space="preserve">Experiencia en el rubro y adecuada administración: </w:t>
      </w:r>
      <w:r w:rsidR="00EC62C4" w:rsidRPr="00EC62C4">
        <w:t>Los</w:t>
      </w:r>
      <w:r w:rsidR="00EC62C4">
        <w:t xml:space="preserve"> principales ejecutivos de </w:t>
      </w:r>
      <w:r w:rsidR="00EC62C4" w:rsidRPr="00EC62C4">
        <w:rPr>
          <w:b/>
          <w:bCs/>
        </w:rPr>
        <w:t>MK</w:t>
      </w:r>
      <w:r w:rsidR="00EC62C4">
        <w:t xml:space="preserve"> son profesionales con</w:t>
      </w:r>
      <w:r w:rsidR="00853799">
        <w:t xml:space="preserve"> más de diez años de</w:t>
      </w:r>
      <w:r w:rsidR="00EC62C4">
        <w:t xml:space="preserve"> experiencia en el sector </w:t>
      </w:r>
      <w:r w:rsidR="001A6F46">
        <w:t>con</w:t>
      </w:r>
      <w:r w:rsidR="00EC62C4">
        <w:t xml:space="preserve"> una gestión y estrategia que ha sido acertada en el tiempo. Ello se refleja en los resultados financieros obtenidos aun en condiciones de mercado desfavorables </w:t>
      </w:r>
      <w:r w:rsidR="005C2161">
        <w:t>(</w:t>
      </w:r>
      <w:r w:rsidR="00EC62C4">
        <w:t>presenta crecimiento en las ventas desde el año 2008, incluso en periodos de crisis</w:t>
      </w:r>
      <w:r w:rsidR="005C2161">
        <w:t>)</w:t>
      </w:r>
      <w:r w:rsidR="00EC62C4">
        <w:t>. Es así como en 2020 el Producto Interno Bruto cayó alrededor de un 6% a la vez que el rubro construcción lo hizo en 14,1%, y por su parte la compañía exhibió un crecimiento de 2,8% en los ingresos</w:t>
      </w:r>
      <w:r w:rsidR="00842209">
        <w:t xml:space="preserve"> totales</w:t>
      </w:r>
      <w:r w:rsidR="00EC62C4">
        <w:t>.</w:t>
      </w:r>
    </w:p>
    <w:p w14:paraId="686F6029" w14:textId="77777777" w:rsidR="00474C1D" w:rsidRDefault="00A14C1D" w:rsidP="00830F97">
      <w:pPr>
        <w:spacing w:after="120"/>
        <w:jc w:val="both"/>
      </w:pPr>
      <w:proofErr w:type="spellStart"/>
      <w:r w:rsidRPr="00660D73">
        <w:rPr>
          <w:rFonts w:ascii="Myriad Pro Light" w:eastAsiaTheme="majorEastAsia" w:hAnsi="Myriad Pro Light" w:cstheme="majorBidi"/>
          <w:b/>
          <w:i/>
          <w:iCs/>
          <w:spacing w:val="-10"/>
          <w:kern w:val="28"/>
          <w:sz w:val="28"/>
          <w:szCs w:val="56"/>
        </w:rPr>
        <w:t>Know</w:t>
      </w:r>
      <w:proofErr w:type="spellEnd"/>
      <w:r w:rsidRPr="00660D73">
        <w:rPr>
          <w:rFonts w:ascii="Myriad Pro Light" w:eastAsiaTheme="majorEastAsia" w:hAnsi="Myriad Pro Light" w:cstheme="majorBidi"/>
          <w:b/>
          <w:i/>
          <w:iCs/>
          <w:spacing w:val="-10"/>
          <w:kern w:val="28"/>
          <w:sz w:val="28"/>
          <w:szCs w:val="56"/>
        </w:rPr>
        <w:t xml:space="preserve"> </w:t>
      </w:r>
      <w:proofErr w:type="spellStart"/>
      <w:proofErr w:type="gramStart"/>
      <w:r w:rsidRPr="00660D73">
        <w:rPr>
          <w:rFonts w:ascii="Myriad Pro Light" w:eastAsiaTheme="majorEastAsia" w:hAnsi="Myriad Pro Light" w:cstheme="majorBidi"/>
          <w:b/>
          <w:i/>
          <w:iCs/>
          <w:spacing w:val="-10"/>
          <w:kern w:val="28"/>
          <w:sz w:val="28"/>
          <w:szCs w:val="56"/>
        </w:rPr>
        <w:t>how</w:t>
      </w:r>
      <w:proofErr w:type="spellEnd"/>
      <w:r w:rsidRPr="00A14C1D">
        <w:rPr>
          <w:rFonts w:ascii="Myriad Pro Light" w:eastAsiaTheme="majorEastAsia" w:hAnsi="Myriad Pro Light" w:cstheme="majorBidi"/>
          <w:b/>
          <w:spacing w:val="-10"/>
          <w:kern w:val="28"/>
          <w:sz w:val="28"/>
          <w:szCs w:val="56"/>
        </w:rPr>
        <w:t xml:space="preserve">  y</w:t>
      </w:r>
      <w:proofErr w:type="gramEnd"/>
      <w:r w:rsidRPr="00A14C1D">
        <w:rPr>
          <w:rFonts w:ascii="Myriad Pro Light" w:eastAsiaTheme="majorEastAsia" w:hAnsi="Myriad Pro Light" w:cstheme="majorBidi"/>
          <w:b/>
          <w:spacing w:val="-10"/>
          <w:kern w:val="28"/>
          <w:sz w:val="28"/>
          <w:szCs w:val="56"/>
        </w:rPr>
        <w:t xml:space="preserve"> capacidad de importación (</w:t>
      </w:r>
      <w:proofErr w:type="spellStart"/>
      <w:r w:rsidRPr="00A14C1D">
        <w:rPr>
          <w:rFonts w:ascii="Myriad Pro Light" w:eastAsiaTheme="majorEastAsia" w:hAnsi="Myriad Pro Light" w:cstheme="majorBidi"/>
          <w:b/>
          <w:spacing w:val="-10"/>
          <w:kern w:val="28"/>
          <w:sz w:val="28"/>
          <w:szCs w:val="56"/>
        </w:rPr>
        <w:t>Klipen</w:t>
      </w:r>
      <w:proofErr w:type="spellEnd"/>
      <w:r w:rsidRPr="00A14C1D">
        <w:rPr>
          <w:rFonts w:ascii="Myriad Pro Light" w:eastAsiaTheme="majorEastAsia" w:hAnsi="Myriad Pro Light" w:cstheme="majorBidi"/>
          <w:b/>
          <w:spacing w:val="-10"/>
          <w:kern w:val="28"/>
          <w:sz w:val="28"/>
          <w:szCs w:val="56"/>
        </w:rPr>
        <w:t>)</w:t>
      </w:r>
      <w:r>
        <w:rPr>
          <w:rFonts w:ascii="Myriad Pro Light" w:eastAsiaTheme="majorEastAsia" w:hAnsi="Myriad Pro Light" w:cstheme="majorBidi"/>
          <w:b/>
          <w:spacing w:val="-10"/>
          <w:kern w:val="28"/>
          <w:sz w:val="28"/>
          <w:szCs w:val="56"/>
        </w:rPr>
        <w:t>:</w:t>
      </w:r>
      <w:r w:rsidR="00BC588D">
        <w:rPr>
          <w:sz w:val="18"/>
          <w:szCs w:val="18"/>
        </w:rPr>
        <w:t xml:space="preserve"> </w:t>
      </w:r>
      <w:r w:rsidR="00875B40">
        <w:t xml:space="preserve">Se incorpora como elemento positivo el </w:t>
      </w:r>
      <w:proofErr w:type="spellStart"/>
      <w:r w:rsidR="00875B40" w:rsidRPr="00D934C3">
        <w:rPr>
          <w:i/>
          <w:iCs/>
        </w:rPr>
        <w:t>know</w:t>
      </w:r>
      <w:proofErr w:type="spellEnd"/>
      <w:r w:rsidR="00875B40" w:rsidRPr="00D934C3">
        <w:rPr>
          <w:i/>
          <w:iCs/>
        </w:rPr>
        <w:t xml:space="preserve"> </w:t>
      </w:r>
      <w:proofErr w:type="spellStart"/>
      <w:r w:rsidR="00875B40" w:rsidRPr="00D934C3">
        <w:rPr>
          <w:i/>
          <w:iCs/>
        </w:rPr>
        <w:t>how</w:t>
      </w:r>
      <w:proofErr w:type="spellEnd"/>
      <w:r w:rsidR="00875B40">
        <w:t xml:space="preserve"> y capacidad de importación de </w:t>
      </w:r>
      <w:proofErr w:type="spellStart"/>
      <w:r w:rsidR="00875B40">
        <w:t>Klipen</w:t>
      </w:r>
      <w:proofErr w:type="spellEnd"/>
      <w:r w:rsidR="00875B40">
        <w:t xml:space="preserve">, </w:t>
      </w:r>
      <w:r w:rsidR="00875B40" w:rsidRPr="006112D2">
        <w:t>que compra productos bajo acuerdos OEM</w:t>
      </w:r>
      <w:r w:rsidR="00875B40">
        <w:rPr>
          <w:rStyle w:val="Refdenotaalpie"/>
        </w:rPr>
        <w:footnoteReference w:id="7"/>
      </w:r>
      <w:r w:rsidR="00875B40" w:rsidRPr="006112D2">
        <w:t xml:space="preserve"> en </w:t>
      </w:r>
      <w:proofErr w:type="spellStart"/>
      <w:r w:rsidR="00875B40" w:rsidRPr="006112D2">
        <w:t>mas</w:t>
      </w:r>
      <w:proofErr w:type="spellEnd"/>
      <w:r w:rsidR="00875B40" w:rsidRPr="006112D2">
        <w:t xml:space="preserve"> de 200 fábricas en todo el mundo. </w:t>
      </w:r>
      <w:r w:rsidR="00875B40">
        <w:t>Esta marca</w:t>
      </w:r>
      <w:r w:rsidR="00875B40" w:rsidRPr="006112D2">
        <w:t xml:space="preserve"> fundada en </w:t>
      </w:r>
      <w:proofErr w:type="gramStart"/>
      <w:r w:rsidR="00875B40" w:rsidRPr="006112D2">
        <w:t>2007,</w:t>
      </w:r>
      <w:proofErr w:type="gramEnd"/>
      <w:r w:rsidR="00875B40" w:rsidRPr="006112D2">
        <w:t xml:space="preserve"> </w:t>
      </w:r>
      <w:r w:rsidR="00875B40">
        <w:t>se compone de</w:t>
      </w:r>
      <w:r w:rsidR="00875B40" w:rsidRPr="006112D2">
        <w:t xml:space="preserve"> una cooperativa de compañías latinoamericanas que decid</w:t>
      </w:r>
      <w:r w:rsidR="00875B40">
        <w:t>ieron</w:t>
      </w:r>
      <w:r w:rsidR="00875B40" w:rsidRPr="006112D2">
        <w:t xml:space="preserve"> asociarse para comprar insumos de mejoramiento del hogar a gran escala en todo el mundo.</w:t>
      </w:r>
      <w:r w:rsidR="00875B40">
        <w:t xml:space="preserve"> </w:t>
      </w:r>
      <w:r w:rsidR="00B57A47">
        <w:t xml:space="preserve"> </w:t>
      </w:r>
      <w:r w:rsidR="00063A52">
        <w:t>Adicionalmente</w:t>
      </w:r>
      <w:r w:rsidR="00B57A47">
        <w:t>,</w:t>
      </w:r>
      <w:r w:rsidR="00063A52">
        <w:t xml:space="preserve"> p</w:t>
      </w:r>
      <w:r w:rsidR="00FE53A4">
        <w:t xml:space="preserve">ara cada producto </w:t>
      </w:r>
      <w:r w:rsidR="00FE53A4" w:rsidRPr="00FE53A4">
        <w:rPr>
          <w:b/>
          <w:bCs/>
        </w:rPr>
        <w:t>MK</w:t>
      </w:r>
      <w:r w:rsidR="00FE53A4">
        <w:t xml:space="preserve"> existe una alternativa </w:t>
      </w:r>
      <w:proofErr w:type="spellStart"/>
      <w:r w:rsidR="00FE53A4">
        <w:t>Klipen</w:t>
      </w:r>
      <w:proofErr w:type="spellEnd"/>
      <w:r w:rsidR="00FE53A4">
        <w:t xml:space="preserve">. </w:t>
      </w:r>
    </w:p>
    <w:p w14:paraId="7005D680" w14:textId="5E2AFC19" w:rsidR="00875B40" w:rsidRDefault="001A2683" w:rsidP="00830F97">
      <w:pPr>
        <w:spacing w:after="120"/>
        <w:jc w:val="both"/>
      </w:pPr>
      <w:r>
        <w:t xml:space="preserve">De esta manera, </w:t>
      </w:r>
      <w:r w:rsidR="00474C1D">
        <w:t xml:space="preserve">se </w:t>
      </w:r>
      <w:r w:rsidR="00010E72">
        <w:t>constituye</w:t>
      </w:r>
      <w:r>
        <w:t xml:space="preserve"> </w:t>
      </w:r>
      <w:r w:rsidR="00FE53A4">
        <w:t xml:space="preserve">una ventaja competitiva </w:t>
      </w:r>
      <w:r w:rsidR="00875B40">
        <w:t xml:space="preserve">en el abastecimiento en términos de disponibilidad de </w:t>
      </w:r>
      <w:r w:rsidR="00875B40" w:rsidRPr="00456CA5">
        <w:rPr>
          <w:i/>
          <w:iCs/>
        </w:rPr>
        <w:t>stock</w:t>
      </w:r>
      <w:r w:rsidR="00344D9A">
        <w:rPr>
          <w:i/>
          <w:iCs/>
        </w:rPr>
        <w:t xml:space="preserve">, </w:t>
      </w:r>
      <w:r w:rsidR="00875B40">
        <w:t>compra de productos de calidad a precios convenientes</w:t>
      </w:r>
      <w:r w:rsidR="00344D9A">
        <w:t xml:space="preserve"> y</w:t>
      </w:r>
      <w:r w:rsidR="008D1205">
        <w:t xml:space="preserve"> mejora continua (</w:t>
      </w:r>
      <w:r w:rsidR="000175AE">
        <w:t xml:space="preserve">considerando que </w:t>
      </w:r>
      <w:r w:rsidR="008D1205">
        <w:t>incorpora innovación y mejores prácticas del comité compuesto por las compañías asociadas en cada país)</w:t>
      </w:r>
      <w:r w:rsidR="00875B40">
        <w:t>.</w:t>
      </w:r>
    </w:p>
    <w:p w14:paraId="31A769E6" w14:textId="77777777" w:rsidR="0086445C" w:rsidRPr="00830F97" w:rsidRDefault="0086445C" w:rsidP="00830F97">
      <w:pPr>
        <w:pStyle w:val="Ttulo1"/>
        <w:keepNext w:val="0"/>
        <w:spacing w:before="0" w:after="120" w:line="240" w:lineRule="auto"/>
        <w:rPr>
          <w:sz w:val="21"/>
          <w:szCs w:val="21"/>
          <w:lang w:val="es-ES"/>
        </w:rPr>
      </w:pPr>
    </w:p>
    <w:p w14:paraId="70AB7AED" w14:textId="26DD706E" w:rsidR="00C11B97" w:rsidRPr="000B4FA5" w:rsidRDefault="00C11B97" w:rsidP="00830F97">
      <w:pPr>
        <w:pStyle w:val="Ttulo1"/>
        <w:keepNext w:val="0"/>
        <w:rPr>
          <w:lang w:val="es-ES"/>
        </w:rPr>
      </w:pPr>
      <w:r w:rsidRPr="000B4FA5">
        <w:rPr>
          <w:lang w:val="es-ES"/>
        </w:rPr>
        <w:t xml:space="preserve">Factores de </w:t>
      </w:r>
      <w:r w:rsidR="00830F97">
        <w:rPr>
          <w:lang w:val="es-ES"/>
        </w:rPr>
        <w:t>r</w:t>
      </w:r>
      <w:r w:rsidRPr="000B4FA5">
        <w:rPr>
          <w:lang w:val="es-ES"/>
        </w:rPr>
        <w:t>iesgo</w:t>
      </w:r>
    </w:p>
    <w:p w14:paraId="49B1771B" w14:textId="0642D6C3" w:rsidR="00A523FC" w:rsidRPr="00BF655A" w:rsidRDefault="002622F0" w:rsidP="00830F97">
      <w:pPr>
        <w:pStyle w:val="Textoindependiente3"/>
        <w:tabs>
          <w:tab w:val="left" w:pos="567"/>
          <w:tab w:val="left" w:pos="1440"/>
          <w:tab w:val="left" w:pos="2160"/>
          <w:tab w:val="left" w:pos="2880"/>
          <w:tab w:val="left" w:pos="3600"/>
          <w:tab w:val="left" w:pos="4320"/>
          <w:tab w:val="left" w:pos="5040"/>
          <w:tab w:val="left" w:pos="5760"/>
          <w:tab w:val="left" w:pos="6480"/>
          <w:tab w:val="left" w:pos="7200"/>
          <w:tab w:val="left" w:pos="7920"/>
        </w:tabs>
        <w:suppressAutoHyphens/>
        <w:jc w:val="both"/>
        <w:rPr>
          <w:sz w:val="21"/>
          <w:szCs w:val="24"/>
        </w:rPr>
      </w:pPr>
      <w:r w:rsidRPr="002622F0">
        <w:rPr>
          <w:rFonts w:ascii="Myriad Pro Light" w:eastAsiaTheme="majorEastAsia" w:hAnsi="Myriad Pro Light" w:cstheme="majorBidi"/>
          <w:b/>
          <w:spacing w:val="-10"/>
          <w:kern w:val="28"/>
          <w:sz w:val="28"/>
          <w:szCs w:val="56"/>
        </w:rPr>
        <w:t>Exposición a variables externas</w:t>
      </w:r>
      <w:r w:rsidR="00A14C1D" w:rsidRPr="002F27BF">
        <w:rPr>
          <w:rFonts w:ascii="Myriad Pro Light" w:eastAsiaTheme="majorEastAsia" w:hAnsi="Myriad Pro Light" w:cstheme="majorBidi"/>
          <w:b/>
          <w:spacing w:val="-10"/>
          <w:kern w:val="28"/>
          <w:sz w:val="28"/>
          <w:szCs w:val="56"/>
        </w:rPr>
        <w:t>:</w:t>
      </w:r>
      <w:r w:rsidR="002E2EF9">
        <w:rPr>
          <w:rFonts w:ascii="Verdana" w:hAnsi="Verdana"/>
          <w:sz w:val="18"/>
          <w:szCs w:val="18"/>
        </w:rPr>
        <w:t xml:space="preserve"> </w:t>
      </w:r>
      <w:r w:rsidR="008A7816">
        <w:rPr>
          <w:sz w:val="21"/>
          <w:szCs w:val="24"/>
        </w:rPr>
        <w:t>C</w:t>
      </w:r>
      <w:r w:rsidR="008A7816" w:rsidRPr="008A7816">
        <w:rPr>
          <w:sz w:val="21"/>
          <w:szCs w:val="24"/>
        </w:rPr>
        <w:t xml:space="preserve">onsiderando que los productos adquiridos para la venta son importados, se genera una exposición </w:t>
      </w:r>
      <w:r w:rsidR="00B30615">
        <w:rPr>
          <w:sz w:val="21"/>
          <w:szCs w:val="24"/>
        </w:rPr>
        <w:t>de tipo de cambio (</w:t>
      </w:r>
      <w:r w:rsidR="008A7816" w:rsidRPr="008A7816">
        <w:rPr>
          <w:sz w:val="21"/>
          <w:szCs w:val="24"/>
        </w:rPr>
        <w:t>variación entre la moneda local y la moneda extranjera respectiva, siendo el dólar la principal moneda de importación</w:t>
      </w:r>
      <w:r w:rsidR="00B30615">
        <w:rPr>
          <w:sz w:val="21"/>
          <w:szCs w:val="24"/>
        </w:rPr>
        <w:t>)</w:t>
      </w:r>
      <w:r w:rsidR="008A7816" w:rsidRPr="008A7816">
        <w:rPr>
          <w:sz w:val="21"/>
          <w:szCs w:val="24"/>
        </w:rPr>
        <w:t>.</w:t>
      </w:r>
      <w:r w:rsidR="00603293">
        <w:rPr>
          <w:sz w:val="21"/>
          <w:szCs w:val="24"/>
        </w:rPr>
        <w:t xml:space="preserve"> </w:t>
      </w:r>
      <w:r w:rsidR="00872AD7">
        <w:rPr>
          <w:sz w:val="21"/>
          <w:szCs w:val="24"/>
        </w:rPr>
        <w:t>De esta manera</w:t>
      </w:r>
      <w:r w:rsidR="00A8298E">
        <w:rPr>
          <w:sz w:val="21"/>
          <w:szCs w:val="24"/>
        </w:rPr>
        <w:t>, d</w:t>
      </w:r>
      <w:r w:rsidR="00EB3238">
        <w:rPr>
          <w:sz w:val="21"/>
          <w:szCs w:val="24"/>
        </w:rPr>
        <w:t xml:space="preserve">urante </w:t>
      </w:r>
      <w:r w:rsidR="000B498C">
        <w:rPr>
          <w:sz w:val="21"/>
          <w:szCs w:val="24"/>
        </w:rPr>
        <w:t>2020</w:t>
      </w:r>
      <w:r w:rsidR="00EB3238">
        <w:rPr>
          <w:sz w:val="21"/>
          <w:szCs w:val="24"/>
        </w:rPr>
        <w:t xml:space="preserve"> </w:t>
      </w:r>
      <w:r w:rsidR="006C5827">
        <w:rPr>
          <w:sz w:val="21"/>
          <w:szCs w:val="24"/>
        </w:rPr>
        <w:t xml:space="preserve">las diferencias de cambio </w:t>
      </w:r>
      <w:r w:rsidR="00A8298E">
        <w:rPr>
          <w:sz w:val="21"/>
          <w:szCs w:val="24"/>
        </w:rPr>
        <w:t>representaron un 7,3% del patrimonio</w:t>
      </w:r>
      <w:r w:rsidR="00A74530">
        <w:rPr>
          <w:sz w:val="21"/>
          <w:szCs w:val="24"/>
        </w:rPr>
        <w:t xml:space="preserve"> (11,5% en 2019).</w:t>
      </w:r>
      <w:r w:rsidR="00BF655A">
        <w:rPr>
          <w:sz w:val="21"/>
          <w:szCs w:val="24"/>
        </w:rPr>
        <w:t xml:space="preserve"> </w:t>
      </w:r>
      <w:r w:rsidR="006F3B9C" w:rsidRPr="00BF655A">
        <w:rPr>
          <w:sz w:val="21"/>
          <w:szCs w:val="24"/>
        </w:rPr>
        <w:t xml:space="preserve">Por otro lado, </w:t>
      </w:r>
      <w:r w:rsidR="0061519A" w:rsidRPr="00BF655A">
        <w:rPr>
          <w:sz w:val="21"/>
          <w:szCs w:val="24"/>
        </w:rPr>
        <w:t>alzas sostenidas</w:t>
      </w:r>
      <w:r w:rsidR="006F3B9C" w:rsidRPr="00BF655A">
        <w:rPr>
          <w:sz w:val="21"/>
          <w:szCs w:val="24"/>
        </w:rPr>
        <w:t xml:space="preserve"> en las tarifas navieras</w:t>
      </w:r>
      <w:r w:rsidR="00AB4630" w:rsidRPr="00BF655A">
        <w:rPr>
          <w:sz w:val="21"/>
          <w:szCs w:val="24"/>
        </w:rPr>
        <w:t xml:space="preserve"> (</w:t>
      </w:r>
      <w:r w:rsidR="001B5186" w:rsidRPr="00BF655A">
        <w:rPr>
          <w:sz w:val="21"/>
          <w:szCs w:val="24"/>
        </w:rPr>
        <w:t>9,2% del patrimonio en 2020)</w:t>
      </w:r>
      <w:r w:rsidR="006F3B9C" w:rsidRPr="00BF655A">
        <w:rPr>
          <w:sz w:val="21"/>
          <w:szCs w:val="24"/>
        </w:rPr>
        <w:t>, o en los gastos de despachos y fletes a clientes</w:t>
      </w:r>
      <w:r w:rsidR="001B5186" w:rsidRPr="00BF655A">
        <w:rPr>
          <w:sz w:val="21"/>
          <w:szCs w:val="24"/>
        </w:rPr>
        <w:t xml:space="preserve"> (</w:t>
      </w:r>
      <w:r w:rsidR="00787D49" w:rsidRPr="00BF655A">
        <w:rPr>
          <w:sz w:val="21"/>
          <w:szCs w:val="24"/>
        </w:rPr>
        <w:t>19% del patrimonio en 2020)</w:t>
      </w:r>
      <w:r w:rsidR="006F3B9C" w:rsidRPr="00BF655A">
        <w:rPr>
          <w:sz w:val="21"/>
          <w:szCs w:val="24"/>
        </w:rPr>
        <w:t>, eventualmente podría</w:t>
      </w:r>
      <w:r w:rsidR="008E3297" w:rsidRPr="00BF655A">
        <w:rPr>
          <w:sz w:val="21"/>
          <w:szCs w:val="24"/>
        </w:rPr>
        <w:t>n</w:t>
      </w:r>
      <w:r w:rsidR="006F3B9C" w:rsidRPr="00BF655A">
        <w:rPr>
          <w:sz w:val="21"/>
          <w:szCs w:val="24"/>
        </w:rPr>
        <w:t xml:space="preserve"> </w:t>
      </w:r>
      <w:r w:rsidR="0061519A" w:rsidRPr="00BF655A">
        <w:rPr>
          <w:sz w:val="21"/>
          <w:szCs w:val="24"/>
        </w:rPr>
        <w:t xml:space="preserve">afectar </w:t>
      </w:r>
      <w:r w:rsidR="006F3B9C" w:rsidRPr="00BF655A">
        <w:rPr>
          <w:sz w:val="21"/>
          <w:szCs w:val="24"/>
        </w:rPr>
        <w:t>la competitividad de la compañía</w:t>
      </w:r>
      <w:r w:rsidR="00A523FC" w:rsidRPr="00BF655A">
        <w:rPr>
          <w:sz w:val="21"/>
          <w:szCs w:val="24"/>
        </w:rPr>
        <w:t>.</w:t>
      </w:r>
    </w:p>
    <w:p w14:paraId="32397548" w14:textId="54D8FF69" w:rsidR="00DD4D4A" w:rsidRDefault="00F57705" w:rsidP="00830F97">
      <w:pPr>
        <w:spacing w:after="120"/>
        <w:jc w:val="both"/>
      </w:pPr>
      <w:r>
        <w:t>Sin perjuicio de lo anterior, se reconoce que</w:t>
      </w:r>
      <w:r w:rsidR="005C1694">
        <w:t xml:space="preserve"> el</w:t>
      </w:r>
      <w:r w:rsidR="00D915BE">
        <w:t xml:space="preserve"> impacto </w:t>
      </w:r>
      <w:r w:rsidR="006339AC">
        <w:t xml:space="preserve">de estas variables </w:t>
      </w:r>
      <w:r w:rsidR="005C1694">
        <w:t>se reduce en gran parte</w:t>
      </w:r>
      <w:r w:rsidR="007C41FB">
        <w:t>,</w:t>
      </w:r>
      <w:r w:rsidR="005C1694">
        <w:t xml:space="preserve"> dado que </w:t>
      </w:r>
      <w:r w:rsidR="00DE1DBF" w:rsidRPr="00DE1DBF">
        <w:rPr>
          <w:b/>
          <w:bCs/>
        </w:rPr>
        <w:t>MK</w:t>
      </w:r>
      <w:r>
        <w:t xml:space="preserve"> </w:t>
      </w:r>
      <w:r w:rsidR="004818C1">
        <w:t xml:space="preserve">es capaz de traspasar </w:t>
      </w:r>
      <w:r w:rsidR="002C0B85">
        <w:t xml:space="preserve">los </w:t>
      </w:r>
      <w:r w:rsidR="00115165">
        <w:t xml:space="preserve">mayores </w:t>
      </w:r>
      <w:r w:rsidR="00BE3FDA">
        <w:t>costos</w:t>
      </w:r>
      <w:r w:rsidR="00115165">
        <w:t xml:space="preserve"> </w:t>
      </w:r>
      <w:r w:rsidR="00BE3FDA">
        <w:t>a</w:t>
      </w:r>
      <w:r w:rsidR="00317256" w:rsidRPr="006023F9">
        <w:t xml:space="preserve"> precios</w:t>
      </w:r>
      <w:r>
        <w:t xml:space="preserve"> finales</w:t>
      </w:r>
      <w:r w:rsidR="007C41FB">
        <w:t xml:space="preserve">, </w:t>
      </w:r>
      <w:r w:rsidR="00EA628A">
        <w:t>consider</w:t>
      </w:r>
      <w:r w:rsidR="00075537">
        <w:t>ando que</w:t>
      </w:r>
      <w:r w:rsidR="007C41FB">
        <w:t xml:space="preserve"> </w:t>
      </w:r>
      <w:r w:rsidR="00675EE7">
        <w:t>una porción importante</w:t>
      </w:r>
      <w:r w:rsidR="007C41FB">
        <w:t xml:space="preserve"> de</w:t>
      </w:r>
      <w:r w:rsidR="00AA6199">
        <w:t xml:space="preserve"> las ventas</w:t>
      </w:r>
      <w:r w:rsidR="007C41FB">
        <w:t xml:space="preserve"> se realiz</w:t>
      </w:r>
      <w:r w:rsidR="003B672E">
        <w:t>a</w:t>
      </w:r>
      <w:r w:rsidR="00AA6199">
        <w:t xml:space="preserve"> en tiendas propias</w:t>
      </w:r>
      <w:r w:rsidR="000444D8">
        <w:t xml:space="preserve">. </w:t>
      </w:r>
      <w:r w:rsidR="00CA7FB8">
        <w:t>Adicionalmente, respecto a la exposició</w:t>
      </w:r>
      <w:r w:rsidR="00915DEB">
        <w:t>n cambiaria</w:t>
      </w:r>
      <w:r w:rsidR="00317256" w:rsidRPr="008A7816">
        <w:t xml:space="preserve">, la sociedad </w:t>
      </w:r>
      <w:r w:rsidR="00C14341" w:rsidRPr="008A7816">
        <w:t>contrata derivados</w:t>
      </w:r>
      <w:r w:rsidR="00C14341">
        <w:t xml:space="preserve">, </w:t>
      </w:r>
      <w:r w:rsidR="00C14341" w:rsidRPr="008A7816">
        <w:t xml:space="preserve">cubre una parte de </w:t>
      </w:r>
      <w:r w:rsidR="00C14341">
        <w:t>los</w:t>
      </w:r>
      <w:r w:rsidR="00C14341" w:rsidRPr="008A7816">
        <w:t xml:space="preserve"> pasivos en moneda extranjera con activos en la misma moneda</w:t>
      </w:r>
      <w:r w:rsidR="00C14341">
        <w:t xml:space="preserve"> y </w:t>
      </w:r>
      <w:r w:rsidR="00D81E30">
        <w:t>posee un modelo</w:t>
      </w:r>
      <w:r w:rsidR="001909AA">
        <w:t xml:space="preserve"> de cobertura</w:t>
      </w:r>
      <w:r w:rsidR="00353A7C">
        <w:t xml:space="preserve"> automatizado</w:t>
      </w:r>
      <w:r w:rsidR="00A03D85">
        <w:t xml:space="preserve"> que le permite monitorear </w:t>
      </w:r>
      <w:r w:rsidR="006E5608">
        <w:t>la exposición cambiaria</w:t>
      </w:r>
      <w:r w:rsidR="00FE5771">
        <w:t xml:space="preserve"> </w:t>
      </w:r>
      <w:r w:rsidR="00E53041">
        <w:t>diariamente</w:t>
      </w:r>
      <w:r w:rsidR="00C14341">
        <w:t>.</w:t>
      </w:r>
    </w:p>
    <w:p w14:paraId="6E9C3210" w14:textId="62274EF1" w:rsidR="00595E23" w:rsidRDefault="002622F0" w:rsidP="00830F97">
      <w:pPr>
        <w:spacing w:after="120"/>
        <w:jc w:val="both"/>
      </w:pPr>
      <w:r w:rsidRPr="002622F0">
        <w:rPr>
          <w:rFonts w:ascii="Myriad Pro Light" w:eastAsiaTheme="majorEastAsia" w:hAnsi="Myriad Pro Light" w:cstheme="majorBidi"/>
          <w:b/>
          <w:spacing w:val="-10"/>
          <w:kern w:val="28"/>
          <w:sz w:val="28"/>
          <w:szCs w:val="56"/>
        </w:rPr>
        <w:t>Concentración de abastecimien</w:t>
      </w:r>
      <w:r w:rsidRPr="007E23CE">
        <w:rPr>
          <w:rFonts w:ascii="Myriad Pro Light" w:eastAsiaTheme="majorEastAsia" w:hAnsi="Myriad Pro Light" w:cstheme="majorBidi"/>
          <w:b/>
          <w:spacing w:val="-10"/>
          <w:kern w:val="28"/>
          <w:sz w:val="28"/>
          <w:szCs w:val="56"/>
        </w:rPr>
        <w:t>to</w:t>
      </w:r>
      <w:r w:rsidR="00A14C1D" w:rsidRPr="007E23CE">
        <w:rPr>
          <w:rFonts w:ascii="Myriad Pro Light" w:eastAsiaTheme="majorEastAsia" w:hAnsi="Myriad Pro Light" w:cstheme="majorBidi"/>
          <w:b/>
          <w:spacing w:val="-10"/>
          <w:kern w:val="28"/>
          <w:sz w:val="28"/>
          <w:szCs w:val="56"/>
        </w:rPr>
        <w:t>:</w:t>
      </w:r>
      <w:r w:rsidR="00595E23" w:rsidRPr="007E23CE">
        <w:rPr>
          <w:rFonts w:ascii="Verdana" w:hAnsi="Verdana"/>
          <w:sz w:val="18"/>
          <w:szCs w:val="18"/>
        </w:rPr>
        <w:t xml:space="preserve"> </w:t>
      </w:r>
      <w:r w:rsidR="002256C7">
        <w:rPr>
          <w:rFonts w:ascii="Verdana" w:hAnsi="Verdana"/>
          <w:sz w:val="18"/>
          <w:szCs w:val="18"/>
        </w:rPr>
        <w:t>S</w:t>
      </w:r>
      <w:r w:rsidR="00130DD2" w:rsidRPr="007200F6">
        <w:t xml:space="preserve">i bien </w:t>
      </w:r>
      <w:r w:rsidR="002256C7">
        <w:t xml:space="preserve">la empresa </w:t>
      </w:r>
      <w:r w:rsidR="00130DD2" w:rsidRPr="007200F6">
        <w:t>posee una adecuada atomización de proveedores,</w:t>
      </w:r>
      <w:r w:rsidR="002256C7">
        <w:t xml:space="preserve"> s</w:t>
      </w:r>
      <w:r w:rsidR="009F5C89">
        <w:t>e</w:t>
      </w:r>
      <w:r w:rsidR="002256C7">
        <w:t xml:space="preserve"> exhibe una concentración de</w:t>
      </w:r>
      <w:r w:rsidR="002256C7" w:rsidRPr="007200F6">
        <w:t xml:space="preserve"> abastecimiento en el mercado asiático, ya que</w:t>
      </w:r>
      <w:r w:rsidR="00130DD2" w:rsidRPr="007200F6">
        <w:t xml:space="preserve"> el </w:t>
      </w:r>
      <w:r w:rsidR="00147124" w:rsidRPr="005B1259">
        <w:t>5</w:t>
      </w:r>
      <w:r w:rsidR="005B7E1A" w:rsidRPr="005B1259">
        <w:t>7,9</w:t>
      </w:r>
      <w:r w:rsidR="00130DD2" w:rsidRPr="005B1259">
        <w:t>% de las importaciones</w:t>
      </w:r>
      <w:r w:rsidR="00512140" w:rsidRPr="005B1259">
        <w:t xml:space="preserve"> (en valor)</w:t>
      </w:r>
      <w:r w:rsidR="00130DD2" w:rsidRPr="005B1259">
        <w:t xml:space="preserve"> fueron desde China durante el año 2020.</w:t>
      </w:r>
      <w:r w:rsidR="00130DD2" w:rsidRPr="007200F6">
        <w:t xml:space="preserve"> </w:t>
      </w:r>
      <w:r w:rsidR="00842934">
        <w:t>Lo anterior</w:t>
      </w:r>
      <w:r w:rsidR="007A14F6">
        <w:t>,</w:t>
      </w:r>
      <w:r w:rsidR="00842934">
        <w:t xml:space="preserve"> </w:t>
      </w:r>
      <w:r w:rsidR="00381BD4">
        <w:t>da cuenta que</w:t>
      </w:r>
      <w:r w:rsidR="00F43709">
        <w:t xml:space="preserve"> frente a condiciones adversas</w:t>
      </w:r>
      <w:r w:rsidR="0079367F">
        <w:t xml:space="preserve"> </w:t>
      </w:r>
      <w:r w:rsidR="00245FA4">
        <w:t>en ese</w:t>
      </w:r>
      <w:r w:rsidR="00F43709">
        <w:t xml:space="preserve"> mercado</w:t>
      </w:r>
      <w:r w:rsidR="00CC7A1C">
        <w:t xml:space="preserve"> (</w:t>
      </w:r>
      <w:proofErr w:type="spellStart"/>
      <w:r w:rsidR="00CC7A1C">
        <w:t>dismunción</w:t>
      </w:r>
      <w:proofErr w:type="spellEnd"/>
      <w:r w:rsidR="00CC7A1C">
        <w:t xml:space="preserve"> de producción, problemas de despacho u otros),</w:t>
      </w:r>
      <w:r w:rsidR="00CC7A1C" w:rsidRPr="007200F6">
        <w:t xml:space="preserve"> se podría tener un efecto directo en la</w:t>
      </w:r>
      <w:r w:rsidR="00CC7A1C">
        <w:t xml:space="preserve"> </w:t>
      </w:r>
      <w:r w:rsidR="00CC7A1C" w:rsidRPr="007200F6">
        <w:t xml:space="preserve">capacidad de generación de </w:t>
      </w:r>
      <w:r w:rsidR="00CC7A1C">
        <w:t>flujos</w:t>
      </w:r>
      <w:r w:rsidR="00F43709">
        <w:t>.</w:t>
      </w:r>
      <w:r w:rsidR="001059D7">
        <w:t xml:space="preserve"> </w:t>
      </w:r>
    </w:p>
    <w:p w14:paraId="31B0674C" w14:textId="69DC8211" w:rsidR="00E90592" w:rsidRDefault="00AD551D" w:rsidP="00830F97">
      <w:pPr>
        <w:spacing w:after="120"/>
        <w:jc w:val="both"/>
      </w:pPr>
      <w:r>
        <w:t xml:space="preserve">Con respecto a lo anterior, se reconocen los esfuerzos de la compañía </w:t>
      </w:r>
      <w:r w:rsidR="00515E82">
        <w:t xml:space="preserve">por diversificar los orígenes de </w:t>
      </w:r>
      <w:r w:rsidR="00FA5A32">
        <w:t>suministro</w:t>
      </w:r>
      <w:r w:rsidR="004A18EB">
        <w:t>, considerando que a l</w:t>
      </w:r>
      <w:r w:rsidR="008765E5">
        <w:t>a</w:t>
      </w:r>
      <w:r w:rsidR="004A18EB">
        <w:t xml:space="preserve"> fecha</w:t>
      </w:r>
      <w:r w:rsidR="00FF4ED9">
        <w:t xml:space="preserve"> (</w:t>
      </w:r>
      <w:r w:rsidR="00294BEF">
        <w:t>enero-julio</w:t>
      </w:r>
      <w:r w:rsidR="00FF4ED9">
        <w:t xml:space="preserve"> 2021)</w:t>
      </w:r>
      <w:r w:rsidR="008765E5">
        <w:t>, un 4</w:t>
      </w:r>
      <w:r w:rsidR="006D3530">
        <w:t>8,4</w:t>
      </w:r>
      <w:r w:rsidR="008765E5">
        <w:t>% de</w:t>
      </w:r>
      <w:r w:rsidR="004A18EB">
        <w:t xml:space="preserve"> </w:t>
      </w:r>
      <w:r w:rsidR="00564934">
        <w:t>las importaciones</w:t>
      </w:r>
      <w:r w:rsidR="007A5EDC">
        <w:t xml:space="preserve"> (en valor)</w:t>
      </w:r>
      <w:r w:rsidR="008765E5">
        <w:t xml:space="preserve"> se </w:t>
      </w:r>
      <w:r w:rsidR="00F54DE9">
        <w:t>realizaron desde China</w:t>
      </w:r>
      <w:r w:rsidR="00C73B09">
        <w:t xml:space="preserve">. </w:t>
      </w:r>
      <w:r w:rsidR="00A77D34">
        <w:t>Asimismo</w:t>
      </w:r>
      <w:r w:rsidR="00230C1C">
        <w:t>,</w:t>
      </w:r>
      <w:r w:rsidR="00A77D34">
        <w:t xml:space="preserve"> </w:t>
      </w:r>
      <w:r w:rsidR="00DF3FA5">
        <w:t xml:space="preserve">se </w:t>
      </w:r>
      <w:r w:rsidR="00074549">
        <w:t>valora</w:t>
      </w:r>
      <w:r w:rsidR="00DF3FA5">
        <w:t xml:space="preserve"> </w:t>
      </w:r>
      <w:r w:rsidR="00FE75C6">
        <w:t>l</w:t>
      </w:r>
      <w:r w:rsidR="00252EA6">
        <w:t>a</w:t>
      </w:r>
      <w:r w:rsidR="00FE75C6">
        <w:t xml:space="preserve"> posición </w:t>
      </w:r>
      <w:r w:rsidR="00252EA6">
        <w:t>de liderazgo</w:t>
      </w:r>
      <w:r w:rsidR="00A12EC9" w:rsidRPr="00FA5A32">
        <w:rPr>
          <w:rStyle w:val="Refdenotaalpie"/>
        </w:rPr>
        <w:footnoteReference w:id="8"/>
      </w:r>
      <w:r w:rsidR="00A12EC9">
        <w:t xml:space="preserve"> </w:t>
      </w:r>
      <w:r w:rsidR="00252EA6">
        <w:t xml:space="preserve">que </w:t>
      </w:r>
      <w:r w:rsidR="00FE75C6">
        <w:t xml:space="preserve">ocupa la </w:t>
      </w:r>
      <w:r w:rsidR="00FF4ED9">
        <w:t>sociedad</w:t>
      </w:r>
      <w:r w:rsidR="00FE75C6">
        <w:t xml:space="preserve"> </w:t>
      </w:r>
      <w:r w:rsidR="00913AF4" w:rsidRPr="00FA5A32">
        <w:t xml:space="preserve">en la importación </w:t>
      </w:r>
      <w:r w:rsidR="001757ED" w:rsidRPr="00FA5A32">
        <w:t>de insumos de mejoramiento del hogar</w:t>
      </w:r>
      <w:r w:rsidR="0095175C" w:rsidRPr="00FA5A32">
        <w:t xml:space="preserve"> </w:t>
      </w:r>
      <w:r w:rsidR="00B01023" w:rsidRPr="00FA5A32">
        <w:t>des</w:t>
      </w:r>
      <w:r w:rsidR="00515E82" w:rsidRPr="00FA5A32">
        <w:t>de otros destinos</w:t>
      </w:r>
      <w:r w:rsidR="002928CB">
        <w:t xml:space="preserve"> </w:t>
      </w:r>
      <w:r w:rsidR="00816B22">
        <w:t xml:space="preserve">distintos al mercado asiático </w:t>
      </w:r>
      <w:r w:rsidR="00B07208" w:rsidRPr="00FA5A32">
        <w:t>(</w:t>
      </w:r>
      <w:r w:rsidR="007C4225">
        <w:t xml:space="preserve">tales como </w:t>
      </w:r>
      <w:r w:rsidR="00A36FA7" w:rsidRPr="00FA5A32">
        <w:t xml:space="preserve">Perú, </w:t>
      </w:r>
      <w:r w:rsidR="00B07208" w:rsidRPr="00FA5A32">
        <w:t>México, España Brasil, e</w:t>
      </w:r>
      <w:r w:rsidR="007C4225">
        <w:t>ntre otros</w:t>
      </w:r>
      <w:r w:rsidR="00B07208" w:rsidRPr="00FA5A32">
        <w:t>)</w:t>
      </w:r>
      <w:r w:rsidR="00515E82" w:rsidRPr="00FA5A32">
        <w:t>.</w:t>
      </w:r>
    </w:p>
    <w:p w14:paraId="5A468442" w14:textId="42A858AE" w:rsidR="00CF56DE" w:rsidRDefault="002622F0" w:rsidP="00830F97">
      <w:pPr>
        <w:spacing w:after="120"/>
        <w:jc w:val="both"/>
      </w:pPr>
      <w:r w:rsidRPr="002622F0">
        <w:rPr>
          <w:rFonts w:ascii="Myriad Pro Light" w:eastAsiaTheme="majorEastAsia" w:hAnsi="Myriad Pro Light" w:cstheme="majorBidi"/>
          <w:b/>
          <w:spacing w:val="-10"/>
          <w:kern w:val="28"/>
          <w:sz w:val="28"/>
          <w:szCs w:val="56"/>
        </w:rPr>
        <w:lastRenderedPageBreak/>
        <w:t>Exposición a empresas sensibles a ciclos económicos</w:t>
      </w:r>
      <w:r w:rsidR="00A14C1D" w:rsidRPr="00A14C1D">
        <w:rPr>
          <w:rFonts w:ascii="Myriad Pro Light" w:eastAsiaTheme="majorEastAsia" w:hAnsi="Myriad Pro Light" w:cstheme="majorBidi"/>
          <w:b/>
          <w:spacing w:val="-10"/>
          <w:kern w:val="28"/>
          <w:sz w:val="28"/>
          <w:szCs w:val="56"/>
        </w:rPr>
        <w:t>:</w:t>
      </w:r>
      <w:r w:rsidR="008C24E0">
        <w:rPr>
          <w:rFonts w:ascii="Verdana" w:hAnsi="Verdana"/>
          <w:sz w:val="18"/>
          <w:szCs w:val="18"/>
        </w:rPr>
        <w:t xml:space="preserve"> </w:t>
      </w:r>
      <w:r w:rsidR="00CD6B01" w:rsidRPr="00EA79AD">
        <w:rPr>
          <w:rFonts w:ascii="Verdana" w:hAnsi="Verdana"/>
          <w:b/>
          <w:bCs/>
          <w:sz w:val="18"/>
          <w:szCs w:val="18"/>
        </w:rPr>
        <w:t>MK</w:t>
      </w:r>
      <w:r w:rsidR="00CD6B01">
        <w:rPr>
          <w:rFonts w:ascii="Verdana" w:hAnsi="Verdana"/>
          <w:sz w:val="18"/>
          <w:szCs w:val="18"/>
        </w:rPr>
        <w:t xml:space="preserve"> </w:t>
      </w:r>
      <w:r w:rsidR="00EA79AD" w:rsidRPr="009623DE">
        <w:t>presenta cierto grado de exposición</w:t>
      </w:r>
      <w:r w:rsidR="00CD6B01" w:rsidRPr="009623DE">
        <w:t xml:space="preserve"> a empresas que son sensibles a </w:t>
      </w:r>
      <w:r w:rsidR="00EA79AD" w:rsidRPr="009623DE">
        <w:t xml:space="preserve">ciclos negativos de actividad económica. </w:t>
      </w:r>
      <w:r w:rsidR="00EA79AD" w:rsidRPr="007575D0">
        <w:t>En los hechos, d</w:t>
      </w:r>
      <w:r w:rsidR="008C24E0" w:rsidRPr="007575D0">
        <w:t xml:space="preserve">urante 2020 un 44,8% de los ingresos (56,7% en 2019), </w:t>
      </w:r>
      <w:r w:rsidR="00513AD6" w:rsidRPr="007575D0">
        <w:t>fue explicado</w:t>
      </w:r>
      <w:r w:rsidR="008C24E0" w:rsidRPr="007575D0">
        <w:t xml:space="preserve"> por el segmento Proyectos</w:t>
      </w:r>
      <w:r w:rsidR="00E00BF7" w:rsidRPr="007575D0">
        <w:t xml:space="preserve"> que redujo sus ventas </w:t>
      </w:r>
      <w:r w:rsidR="007575D0" w:rsidRPr="007575D0">
        <w:t xml:space="preserve">un </w:t>
      </w:r>
      <w:r w:rsidR="00E00BF7" w:rsidRPr="007575D0">
        <w:t>18,9% ese año</w:t>
      </w:r>
      <w:r w:rsidR="007575D0">
        <w:t xml:space="preserve"> ante la baja en el sector construcción por la crisis sanitaria</w:t>
      </w:r>
      <w:r w:rsidR="008C24E0" w:rsidRPr="007575D0">
        <w:t>.</w:t>
      </w:r>
      <w:r w:rsidR="008C24E0">
        <w:t xml:space="preserve"> </w:t>
      </w:r>
    </w:p>
    <w:p w14:paraId="2BBEEFED" w14:textId="268787B5" w:rsidR="00141D0A" w:rsidRDefault="00CF56DE" w:rsidP="00830F97">
      <w:pPr>
        <w:spacing w:after="120"/>
        <w:jc w:val="both"/>
      </w:pPr>
      <w:r>
        <w:t xml:space="preserve">Sin perjuicio de lo anterior, </w:t>
      </w:r>
      <w:r w:rsidR="008C24E0">
        <w:t xml:space="preserve">se reconoce que la compañía posee un adecuado grado de diversificación que le permite reducir la exposición a los sectores </w:t>
      </w:r>
      <w:r w:rsidR="00046E80">
        <w:t>más sensibles</w:t>
      </w:r>
      <w:r w:rsidR="008C24E0">
        <w:t xml:space="preserve"> (como construcción), ya que</w:t>
      </w:r>
      <w:r w:rsidR="008E754A">
        <w:t xml:space="preserve"> </w:t>
      </w:r>
      <w:r w:rsidR="00147B3D">
        <w:t xml:space="preserve">además de ofrecer </w:t>
      </w:r>
      <w:r w:rsidR="00A54AC8">
        <w:t>productos</w:t>
      </w:r>
      <w:r w:rsidR="00147B3D">
        <w:t xml:space="preserve"> al sector inmobiliario, </w:t>
      </w:r>
      <w:r w:rsidR="008C24E0">
        <w:t xml:space="preserve">también </w:t>
      </w:r>
      <w:r w:rsidR="00147B3D">
        <w:t xml:space="preserve">está presente en </w:t>
      </w:r>
      <w:r w:rsidR="00141D0A">
        <w:t>proyectos para obras públicas (</w:t>
      </w:r>
      <w:r w:rsidR="004B2865">
        <w:t xml:space="preserve">aeropuertos, hospitales, municipios, jardines, Junji, juzgados, entre otros) y </w:t>
      </w:r>
      <w:r w:rsidR="00141D0A">
        <w:t>mandantes corporativos</w:t>
      </w:r>
      <w:r w:rsidR="004B2865">
        <w:t xml:space="preserve"> (centros comerciales, cadenas de </w:t>
      </w:r>
      <w:proofErr w:type="spellStart"/>
      <w:r w:rsidR="004B2865" w:rsidRPr="004B2865">
        <w:rPr>
          <w:i/>
          <w:iCs/>
        </w:rPr>
        <w:t>retail</w:t>
      </w:r>
      <w:proofErr w:type="spellEnd"/>
      <w:r w:rsidR="004B2865">
        <w:t>, farmacias, automotoras, hotelería, minería, entre otros)</w:t>
      </w:r>
      <w:r w:rsidR="00141D0A">
        <w:t>. Asimismo, en sus otros segmentos, la empresa vende a distribuidores y clientes particulares.</w:t>
      </w:r>
    </w:p>
    <w:p w14:paraId="768BF137" w14:textId="3D563358" w:rsidR="00A64343" w:rsidRDefault="002622F0" w:rsidP="00830F97">
      <w:pPr>
        <w:spacing w:after="120"/>
        <w:jc w:val="both"/>
      </w:pPr>
      <w:r w:rsidRPr="00660D73">
        <w:rPr>
          <w:rFonts w:ascii="Myriad Pro Light" w:eastAsiaTheme="majorEastAsia" w:hAnsi="Myriad Pro Light" w:cstheme="majorBidi"/>
          <w:b/>
          <w:spacing w:val="-10"/>
          <w:kern w:val="28"/>
          <w:sz w:val="28"/>
          <w:szCs w:val="56"/>
        </w:rPr>
        <w:t>Reducido capital</w:t>
      </w:r>
      <w:r w:rsidR="00A14C1D" w:rsidRPr="00660D73">
        <w:rPr>
          <w:rFonts w:ascii="Myriad Pro Light" w:eastAsiaTheme="majorEastAsia" w:hAnsi="Myriad Pro Light" w:cstheme="majorBidi"/>
          <w:b/>
          <w:spacing w:val="-10"/>
          <w:kern w:val="28"/>
          <w:sz w:val="28"/>
          <w:szCs w:val="56"/>
        </w:rPr>
        <w:t>:</w:t>
      </w:r>
      <w:r w:rsidR="002F0CAC" w:rsidRPr="00660D73">
        <w:rPr>
          <w:rFonts w:ascii="Verdana" w:hAnsi="Verdana"/>
          <w:sz w:val="18"/>
          <w:szCs w:val="18"/>
        </w:rPr>
        <w:t xml:space="preserve"> </w:t>
      </w:r>
      <w:r w:rsidR="000C1C1B" w:rsidRPr="00660D73">
        <w:t xml:space="preserve">Se </w:t>
      </w:r>
      <w:r w:rsidR="009B1452" w:rsidRPr="00660D73">
        <w:t>recoge dentro del análisis,</w:t>
      </w:r>
      <w:r w:rsidR="000C1C1B" w:rsidRPr="00660D73">
        <w:t xml:space="preserve"> </w:t>
      </w:r>
      <w:r w:rsidR="006D4176" w:rsidRPr="00660D73">
        <w:t xml:space="preserve">el hecho </w:t>
      </w:r>
      <w:r w:rsidR="000C1C1B" w:rsidRPr="00660D73">
        <w:t>que e</w:t>
      </w:r>
      <w:r w:rsidR="002F0CAC" w:rsidRPr="00660D73">
        <w:t xml:space="preserve">l patrimonio de la firma está constituido en </w:t>
      </w:r>
      <w:r w:rsidR="004A3D5E" w:rsidRPr="00660D73">
        <w:t>81</w:t>
      </w:r>
      <w:r w:rsidR="002F0CAC" w:rsidRPr="00660D73">
        <w:t xml:space="preserve">% por utilidades retenidas, susceptibles de ser repartidas como dividendos. </w:t>
      </w:r>
      <w:r w:rsidR="006D4176" w:rsidRPr="00660D73">
        <w:t>Sin embargo</w:t>
      </w:r>
      <w:r w:rsidR="000C1C1B" w:rsidRPr="00660D73">
        <w:t xml:space="preserve">, </w:t>
      </w:r>
      <w:r w:rsidR="002F0CAC" w:rsidRPr="00660D73">
        <w:t xml:space="preserve">en opinión de </w:t>
      </w:r>
      <w:r w:rsidR="002F0CAC" w:rsidRPr="00660D73">
        <w:rPr>
          <w:b/>
          <w:bCs/>
          <w:i/>
          <w:iCs/>
        </w:rPr>
        <w:t>Humphreys</w:t>
      </w:r>
      <w:r w:rsidR="002F0CAC" w:rsidRPr="00660D73">
        <w:t xml:space="preserve">, al menos en el corto plazo, existe una baja probabilidad que se retiren recursos si ello compromete financieramente a </w:t>
      </w:r>
      <w:r w:rsidR="002F0CAC" w:rsidRPr="00660D73">
        <w:rPr>
          <w:b/>
          <w:bCs/>
        </w:rPr>
        <w:t>MK</w:t>
      </w:r>
      <w:r w:rsidR="0028489B" w:rsidRPr="00660D73">
        <w:t>;</w:t>
      </w:r>
      <w:r w:rsidR="001C418F">
        <w:t xml:space="preserve"> </w:t>
      </w:r>
      <w:r w:rsidR="00351FDC" w:rsidRPr="00660D73">
        <w:t>en particular si se tiene planificado capitalizar utilidades retenidas.</w:t>
      </w:r>
    </w:p>
    <w:p w14:paraId="4E7E9696" w14:textId="4B52CC40" w:rsidR="00A64343" w:rsidRDefault="002622F0" w:rsidP="00830F97">
      <w:pPr>
        <w:spacing w:after="120"/>
        <w:jc w:val="both"/>
      </w:pPr>
      <w:r w:rsidRPr="002622F0">
        <w:rPr>
          <w:rFonts w:ascii="Myriad Pro Light" w:eastAsiaTheme="majorEastAsia" w:hAnsi="Myriad Pro Light" w:cstheme="majorBidi"/>
          <w:b/>
          <w:spacing w:val="-10"/>
          <w:kern w:val="28"/>
          <w:sz w:val="28"/>
          <w:szCs w:val="56"/>
        </w:rPr>
        <w:t xml:space="preserve">Riesgo de </w:t>
      </w:r>
      <w:r w:rsidRPr="000257FE">
        <w:rPr>
          <w:rFonts w:ascii="Myriad Pro Light" w:eastAsiaTheme="majorEastAsia" w:hAnsi="Myriad Pro Light" w:cstheme="majorBidi"/>
          <w:b/>
          <w:spacing w:val="-10"/>
          <w:kern w:val="28"/>
          <w:sz w:val="28"/>
          <w:szCs w:val="56"/>
        </w:rPr>
        <w:t>crédito</w:t>
      </w:r>
      <w:r w:rsidR="003E7466" w:rsidRPr="000257FE">
        <w:rPr>
          <w:rFonts w:ascii="Myriad Pro Light" w:eastAsiaTheme="majorEastAsia" w:hAnsi="Myriad Pro Light" w:cstheme="majorBidi"/>
          <w:b/>
          <w:spacing w:val="-10"/>
          <w:kern w:val="28"/>
          <w:sz w:val="28"/>
          <w:szCs w:val="56"/>
        </w:rPr>
        <w:t>:</w:t>
      </w:r>
      <w:r w:rsidR="00901D88" w:rsidRPr="000257FE">
        <w:rPr>
          <w:rFonts w:ascii="Myriad Pro Light" w:eastAsiaTheme="majorEastAsia" w:hAnsi="Myriad Pro Light" w:cstheme="majorBidi"/>
          <w:b/>
          <w:spacing w:val="-10"/>
          <w:kern w:val="28"/>
          <w:sz w:val="28"/>
          <w:szCs w:val="56"/>
        </w:rPr>
        <w:t xml:space="preserve"> </w:t>
      </w:r>
      <w:r w:rsidR="00F02287" w:rsidRPr="000257FE">
        <w:t>Como riesgo</w:t>
      </w:r>
      <w:r w:rsidR="00F02287">
        <w:t xml:space="preserve"> inherente del segmento comercial del negocio, está la posibilidad de no pago por parte de los </w:t>
      </w:r>
      <w:r w:rsidR="00F02287" w:rsidRPr="00C66295">
        <w:t>cliente</w:t>
      </w:r>
      <w:r w:rsidR="0095731B" w:rsidRPr="00C66295">
        <w:t>s</w:t>
      </w:r>
      <w:r w:rsidR="00901D88" w:rsidRPr="00C66295">
        <w:t xml:space="preserve"> </w:t>
      </w:r>
      <w:r w:rsidR="00F02287" w:rsidRPr="00C66295">
        <w:t xml:space="preserve">(a </w:t>
      </w:r>
      <w:r w:rsidR="00290F2E" w:rsidRPr="00C66295">
        <w:t xml:space="preserve">junio de </w:t>
      </w:r>
      <w:r w:rsidR="00F02287" w:rsidRPr="00C66295">
        <w:t>202</w:t>
      </w:r>
      <w:r w:rsidR="00290F2E" w:rsidRPr="00C66295">
        <w:t>1</w:t>
      </w:r>
      <w:r w:rsidR="00F02287" w:rsidRPr="00C66295">
        <w:t xml:space="preserve"> las cuentas por cobrar representa</w:t>
      </w:r>
      <w:r w:rsidR="00C66295" w:rsidRPr="00C66295">
        <w:t>ron 103</w:t>
      </w:r>
      <w:r w:rsidR="000257FE">
        <w:t>,4</w:t>
      </w:r>
      <w:r w:rsidR="00C66295" w:rsidRPr="00C66295">
        <w:t>% de</w:t>
      </w:r>
      <w:r w:rsidR="00F02287" w:rsidRPr="00C66295">
        <w:t>l patrimonio).</w:t>
      </w:r>
      <w:r w:rsidR="00B85587">
        <w:t xml:space="preserve"> </w:t>
      </w:r>
      <w:r w:rsidR="00F02287">
        <w:t xml:space="preserve">Al respecto, si bien </w:t>
      </w:r>
      <w:r w:rsidR="00E6031B">
        <w:t>se exhibe una</w:t>
      </w:r>
      <w:r w:rsidR="001045D5">
        <w:t xml:space="preserve"> </w:t>
      </w:r>
      <w:r w:rsidR="00D8105E">
        <w:t>cartera atomizada</w:t>
      </w:r>
      <w:r w:rsidR="00F02287">
        <w:t xml:space="preserve"> de clientes</w:t>
      </w:r>
      <w:r w:rsidR="00BE21C7">
        <w:t xml:space="preserve">, </w:t>
      </w:r>
      <w:r w:rsidR="00F02287">
        <w:t xml:space="preserve">es posible </w:t>
      </w:r>
      <w:proofErr w:type="gramStart"/>
      <w:r w:rsidR="00F02287">
        <w:t>que</w:t>
      </w:r>
      <w:proofErr w:type="gramEnd"/>
      <w:r w:rsidR="000C2F6B">
        <w:t xml:space="preserve"> frente a situaciones </w:t>
      </w:r>
      <w:r w:rsidR="007B244A">
        <w:t>adversas</w:t>
      </w:r>
      <w:r w:rsidR="000C2F6B">
        <w:t>,</w:t>
      </w:r>
      <w:r w:rsidR="00F02287">
        <w:t xml:space="preserve"> el no pago de </w:t>
      </w:r>
      <w:r w:rsidR="00A90F6F">
        <w:t xml:space="preserve">un conjunto de cuentas </w:t>
      </w:r>
      <w:r w:rsidR="00F02287">
        <w:t xml:space="preserve">termine consumiendo </w:t>
      </w:r>
      <w:r w:rsidR="000C2F6B">
        <w:t>una porción</w:t>
      </w:r>
      <w:r w:rsidR="00F02287">
        <w:t xml:space="preserve"> </w:t>
      </w:r>
      <w:r w:rsidR="007B244A">
        <w:t xml:space="preserve">no menor de la </w:t>
      </w:r>
      <w:r w:rsidR="00F02287">
        <w:t>generación anual del flujo de caja.</w:t>
      </w:r>
      <w:r w:rsidR="0095731B">
        <w:t xml:space="preserve"> Co</w:t>
      </w:r>
      <w:r w:rsidR="006F3799">
        <w:t>n todo</w:t>
      </w:r>
      <w:r w:rsidR="0095731B">
        <w:t xml:space="preserve">, </w:t>
      </w:r>
      <w:r w:rsidR="002B4386">
        <w:t xml:space="preserve">el riesgo </w:t>
      </w:r>
      <w:r w:rsidR="00B307E6">
        <w:t>se atenúa</w:t>
      </w:r>
      <w:r w:rsidR="002B4386">
        <w:t xml:space="preserve"> considerando </w:t>
      </w:r>
      <w:r w:rsidR="00F02287">
        <w:t>que la empresa opera con seguros de crédito</w:t>
      </w:r>
      <w:r w:rsidR="0095731B">
        <w:t>.</w:t>
      </w:r>
    </w:p>
    <w:p w14:paraId="427289F1" w14:textId="77777777" w:rsidR="00830F97" w:rsidRDefault="00830F97" w:rsidP="00830F97">
      <w:pPr>
        <w:spacing w:after="120"/>
        <w:jc w:val="both"/>
        <w:rPr>
          <w:highlight w:val="yellow"/>
        </w:rPr>
      </w:pPr>
    </w:p>
    <w:p w14:paraId="37818C49" w14:textId="51DB13F6" w:rsidR="00C11B97" w:rsidRDefault="00C10CC8" w:rsidP="001C418F">
      <w:pPr>
        <w:pStyle w:val="Ttulo1"/>
        <w:rPr>
          <w:lang w:val="es-ES"/>
        </w:rPr>
      </w:pPr>
      <w:r>
        <w:rPr>
          <w:lang w:val="es-ES"/>
        </w:rPr>
        <w:t>Antecedentes generales</w:t>
      </w:r>
    </w:p>
    <w:p w14:paraId="5C99AEFD" w14:textId="61C3E504" w:rsidR="00C10CC8" w:rsidRPr="000528DB" w:rsidRDefault="00C10CC8" w:rsidP="001C418F">
      <w:pPr>
        <w:pStyle w:val="Ttulo"/>
        <w:contextualSpacing w:val="0"/>
      </w:pPr>
      <w:r w:rsidRPr="000528DB">
        <w:t>La compañía</w:t>
      </w:r>
    </w:p>
    <w:p w14:paraId="25DF2231" w14:textId="6EDDC2CF" w:rsidR="005D687C" w:rsidRPr="007D0162" w:rsidRDefault="00F936FD" w:rsidP="001C418F">
      <w:pPr>
        <w:pStyle w:val="Textoindependiente3"/>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jc w:val="both"/>
        <w:rPr>
          <w:bCs/>
          <w:sz w:val="21"/>
          <w:szCs w:val="24"/>
        </w:rPr>
      </w:pPr>
      <w:r w:rsidRPr="00C322C8">
        <w:rPr>
          <w:b/>
          <w:sz w:val="21"/>
          <w:szCs w:val="24"/>
        </w:rPr>
        <w:t>MK</w:t>
      </w:r>
      <w:r w:rsidR="005D687C" w:rsidRPr="007D0162">
        <w:rPr>
          <w:bCs/>
          <w:sz w:val="21"/>
          <w:szCs w:val="24"/>
        </w:rPr>
        <w:t>,</w:t>
      </w:r>
      <w:r w:rsidR="005D687C">
        <w:rPr>
          <w:b/>
          <w:sz w:val="21"/>
          <w:szCs w:val="24"/>
        </w:rPr>
        <w:t xml:space="preserve"> </w:t>
      </w:r>
      <w:r w:rsidR="005D687C" w:rsidRPr="007D0162">
        <w:rPr>
          <w:bCs/>
          <w:sz w:val="21"/>
          <w:szCs w:val="24"/>
        </w:rPr>
        <w:t xml:space="preserve">fundada en 1998 por la familia </w:t>
      </w:r>
      <w:proofErr w:type="spellStart"/>
      <w:r w:rsidR="005D687C" w:rsidRPr="007D0162">
        <w:rPr>
          <w:bCs/>
          <w:sz w:val="21"/>
          <w:szCs w:val="24"/>
        </w:rPr>
        <w:t>khamis</w:t>
      </w:r>
      <w:proofErr w:type="spellEnd"/>
      <w:r w:rsidR="005D687C" w:rsidRPr="007D0162">
        <w:rPr>
          <w:bCs/>
          <w:sz w:val="21"/>
          <w:szCs w:val="24"/>
        </w:rPr>
        <w:t xml:space="preserve"> </w:t>
      </w:r>
      <w:r w:rsidR="007D0162">
        <w:rPr>
          <w:bCs/>
          <w:sz w:val="21"/>
          <w:szCs w:val="24"/>
        </w:rPr>
        <w:t>(</w:t>
      </w:r>
      <w:r w:rsidR="005D687C" w:rsidRPr="007D0162">
        <w:rPr>
          <w:bCs/>
          <w:sz w:val="21"/>
          <w:szCs w:val="24"/>
        </w:rPr>
        <w:t>quienes cuentan con más de 45 años de experiencia en la industria</w:t>
      </w:r>
      <w:r w:rsidR="007D0162">
        <w:rPr>
          <w:bCs/>
          <w:sz w:val="21"/>
          <w:szCs w:val="24"/>
        </w:rPr>
        <w:t>)</w:t>
      </w:r>
      <w:r w:rsidR="005D687C" w:rsidRPr="007D0162">
        <w:rPr>
          <w:bCs/>
          <w:sz w:val="21"/>
          <w:szCs w:val="24"/>
        </w:rPr>
        <w:t xml:space="preserve">, </w:t>
      </w:r>
      <w:r w:rsidR="007D0162" w:rsidRPr="007D0162">
        <w:rPr>
          <w:bCs/>
          <w:sz w:val="21"/>
          <w:szCs w:val="24"/>
        </w:rPr>
        <w:t xml:space="preserve">es una empresa que </w:t>
      </w:r>
      <w:r w:rsidR="00432870" w:rsidRPr="007D0162">
        <w:rPr>
          <w:bCs/>
          <w:sz w:val="21"/>
          <w:szCs w:val="24"/>
        </w:rPr>
        <w:t>se dedica a la importación y venta de productos para el mejoramiento del hogar en Chile</w:t>
      </w:r>
      <w:r w:rsidR="006E7EC9" w:rsidRPr="007D0162">
        <w:rPr>
          <w:bCs/>
          <w:sz w:val="21"/>
          <w:szCs w:val="24"/>
        </w:rPr>
        <w:t xml:space="preserve">, </w:t>
      </w:r>
      <w:r w:rsidR="007D0162">
        <w:rPr>
          <w:bCs/>
          <w:sz w:val="21"/>
          <w:szCs w:val="24"/>
        </w:rPr>
        <w:t>ofreciendo</w:t>
      </w:r>
      <w:r w:rsidR="00432870" w:rsidRPr="007D0162">
        <w:rPr>
          <w:bCs/>
          <w:sz w:val="21"/>
          <w:szCs w:val="24"/>
        </w:rPr>
        <w:t xml:space="preserve"> </w:t>
      </w:r>
      <w:r w:rsidR="00F54581">
        <w:rPr>
          <w:bCs/>
          <w:sz w:val="21"/>
          <w:szCs w:val="24"/>
        </w:rPr>
        <w:t>todo tipo de pisos (</w:t>
      </w:r>
      <w:r w:rsidR="00432870" w:rsidRPr="007D0162">
        <w:rPr>
          <w:bCs/>
          <w:sz w:val="21"/>
          <w:szCs w:val="24"/>
        </w:rPr>
        <w:t>cerámicas, pavimentos, piedras, porcelanatos, mosaicos</w:t>
      </w:r>
      <w:r w:rsidR="00450149">
        <w:rPr>
          <w:bCs/>
          <w:sz w:val="21"/>
          <w:szCs w:val="24"/>
        </w:rPr>
        <w:t>, pisos de madera)</w:t>
      </w:r>
      <w:r w:rsidR="00432870" w:rsidRPr="007D0162">
        <w:rPr>
          <w:bCs/>
          <w:sz w:val="21"/>
          <w:szCs w:val="24"/>
        </w:rPr>
        <w:t>,</w:t>
      </w:r>
      <w:r w:rsidR="00450149">
        <w:rPr>
          <w:bCs/>
          <w:sz w:val="21"/>
          <w:szCs w:val="24"/>
        </w:rPr>
        <w:t xml:space="preserve"> además de</w:t>
      </w:r>
      <w:r w:rsidR="00432870" w:rsidRPr="007D0162">
        <w:rPr>
          <w:bCs/>
          <w:sz w:val="21"/>
          <w:szCs w:val="24"/>
        </w:rPr>
        <w:t xml:space="preserve"> grifería, sanitarios, pizarras y muebles de cocina.</w:t>
      </w:r>
      <w:r w:rsidR="006E7EC9" w:rsidRPr="007D0162">
        <w:rPr>
          <w:bCs/>
          <w:sz w:val="21"/>
          <w:szCs w:val="24"/>
        </w:rPr>
        <w:t xml:space="preserve"> </w:t>
      </w:r>
    </w:p>
    <w:p w14:paraId="72E8502D" w14:textId="09558405" w:rsidR="00C322C8" w:rsidRDefault="00AA64A8" w:rsidP="001C418F">
      <w:pPr>
        <w:pStyle w:val="Textoindependiente3"/>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jc w:val="both"/>
        <w:rPr>
          <w:bCs/>
          <w:sz w:val="21"/>
          <w:szCs w:val="24"/>
        </w:rPr>
      </w:pPr>
      <w:r>
        <w:rPr>
          <w:bCs/>
          <w:sz w:val="21"/>
          <w:szCs w:val="24"/>
        </w:rPr>
        <w:t xml:space="preserve">La </w:t>
      </w:r>
      <w:r w:rsidR="007D0162">
        <w:rPr>
          <w:bCs/>
          <w:sz w:val="21"/>
          <w:szCs w:val="24"/>
        </w:rPr>
        <w:t>compañía</w:t>
      </w:r>
      <w:r>
        <w:rPr>
          <w:bCs/>
          <w:sz w:val="21"/>
          <w:szCs w:val="24"/>
        </w:rPr>
        <w:t xml:space="preserve"> </w:t>
      </w:r>
      <w:proofErr w:type="spellStart"/>
      <w:r w:rsidR="006C0259">
        <w:rPr>
          <w:bCs/>
          <w:sz w:val="21"/>
          <w:szCs w:val="24"/>
        </w:rPr>
        <w:t>inicó</w:t>
      </w:r>
      <w:proofErr w:type="spellEnd"/>
      <w:r w:rsidR="006C0259">
        <w:rPr>
          <w:bCs/>
          <w:sz w:val="21"/>
          <w:szCs w:val="24"/>
        </w:rPr>
        <w:t xml:space="preserve"> sus operaciones</w:t>
      </w:r>
      <w:r w:rsidR="00DA29EF" w:rsidRPr="00A2504D">
        <w:rPr>
          <w:bCs/>
          <w:sz w:val="21"/>
          <w:szCs w:val="24"/>
        </w:rPr>
        <w:t xml:space="preserve"> </w:t>
      </w:r>
      <w:r w:rsidR="00E97ACB" w:rsidRPr="00A2504D">
        <w:rPr>
          <w:bCs/>
          <w:sz w:val="21"/>
          <w:szCs w:val="24"/>
        </w:rPr>
        <w:t>con</w:t>
      </w:r>
      <w:r w:rsidR="00E97ACB">
        <w:rPr>
          <w:bCs/>
          <w:sz w:val="21"/>
          <w:szCs w:val="24"/>
        </w:rPr>
        <w:t xml:space="preserve"> un</w:t>
      </w:r>
      <w:r w:rsidR="00EF1804" w:rsidRPr="00EF1804">
        <w:rPr>
          <w:bCs/>
          <w:sz w:val="21"/>
          <w:szCs w:val="24"/>
        </w:rPr>
        <w:t xml:space="preserve"> </w:t>
      </w:r>
      <w:r w:rsidR="00EF1804" w:rsidRPr="00FB16DC">
        <w:rPr>
          <w:bCs/>
          <w:i/>
          <w:iCs/>
          <w:sz w:val="21"/>
          <w:szCs w:val="24"/>
        </w:rPr>
        <w:t>showroom</w:t>
      </w:r>
      <w:r w:rsidR="00E97ACB">
        <w:rPr>
          <w:bCs/>
          <w:sz w:val="21"/>
          <w:szCs w:val="24"/>
        </w:rPr>
        <w:t xml:space="preserve"> </w:t>
      </w:r>
      <w:r w:rsidR="00EF1804" w:rsidRPr="00EF1804">
        <w:rPr>
          <w:bCs/>
          <w:sz w:val="21"/>
          <w:szCs w:val="24"/>
        </w:rPr>
        <w:t>de</w:t>
      </w:r>
      <w:r w:rsidR="00E97ACB">
        <w:rPr>
          <w:bCs/>
          <w:sz w:val="21"/>
          <w:szCs w:val="24"/>
        </w:rPr>
        <w:t xml:space="preserve"> </w:t>
      </w:r>
      <w:r w:rsidR="00EF1804" w:rsidRPr="00EF1804">
        <w:rPr>
          <w:bCs/>
          <w:sz w:val="21"/>
          <w:szCs w:val="24"/>
        </w:rPr>
        <w:t>terminaciones con 1.000 m</w:t>
      </w:r>
      <w:r w:rsidR="00EF1804" w:rsidRPr="00FB16DC">
        <w:rPr>
          <w:bCs/>
          <w:sz w:val="21"/>
          <w:szCs w:val="24"/>
          <w:vertAlign w:val="superscript"/>
        </w:rPr>
        <w:t>2</w:t>
      </w:r>
      <w:r w:rsidR="00E97ACB">
        <w:rPr>
          <w:bCs/>
          <w:sz w:val="21"/>
          <w:szCs w:val="24"/>
        </w:rPr>
        <w:t xml:space="preserve">. </w:t>
      </w:r>
      <w:r w:rsidR="003377A3">
        <w:rPr>
          <w:bCs/>
          <w:sz w:val="21"/>
          <w:szCs w:val="24"/>
        </w:rPr>
        <w:t xml:space="preserve"> </w:t>
      </w:r>
      <w:r w:rsidR="00B803AB">
        <w:rPr>
          <w:bCs/>
          <w:sz w:val="21"/>
          <w:szCs w:val="24"/>
        </w:rPr>
        <w:t>D</w:t>
      </w:r>
      <w:r w:rsidR="00D252B3">
        <w:rPr>
          <w:bCs/>
          <w:sz w:val="21"/>
          <w:szCs w:val="24"/>
        </w:rPr>
        <w:t xml:space="preserve">urante 2003 </w:t>
      </w:r>
      <w:r w:rsidR="00FB16DC">
        <w:rPr>
          <w:bCs/>
          <w:sz w:val="21"/>
          <w:szCs w:val="24"/>
        </w:rPr>
        <w:t>c</w:t>
      </w:r>
      <w:r w:rsidR="00D252B3" w:rsidRPr="00D252B3">
        <w:rPr>
          <w:bCs/>
          <w:sz w:val="21"/>
          <w:szCs w:val="24"/>
        </w:rPr>
        <w:t>omenz</w:t>
      </w:r>
      <w:r w:rsidR="00FB16DC">
        <w:rPr>
          <w:bCs/>
          <w:sz w:val="21"/>
          <w:szCs w:val="24"/>
        </w:rPr>
        <w:t xml:space="preserve">ó su </w:t>
      </w:r>
      <w:r w:rsidR="00D252B3" w:rsidRPr="00D252B3">
        <w:rPr>
          <w:bCs/>
          <w:sz w:val="21"/>
          <w:szCs w:val="24"/>
        </w:rPr>
        <w:t xml:space="preserve">expansión regional con la inauguración del primer </w:t>
      </w:r>
      <w:r w:rsidR="00D252B3" w:rsidRPr="00FB16DC">
        <w:rPr>
          <w:bCs/>
          <w:i/>
          <w:iCs/>
          <w:sz w:val="21"/>
          <w:szCs w:val="24"/>
        </w:rPr>
        <w:t>showroom</w:t>
      </w:r>
      <w:r w:rsidR="00D252B3">
        <w:rPr>
          <w:bCs/>
          <w:sz w:val="21"/>
          <w:szCs w:val="24"/>
        </w:rPr>
        <w:t xml:space="preserve"> </w:t>
      </w:r>
      <w:r w:rsidR="00D252B3" w:rsidRPr="00D252B3">
        <w:rPr>
          <w:bCs/>
          <w:sz w:val="21"/>
          <w:szCs w:val="24"/>
        </w:rPr>
        <w:t xml:space="preserve">fuera de la </w:t>
      </w:r>
      <w:r w:rsidR="003A63DA">
        <w:rPr>
          <w:bCs/>
          <w:sz w:val="21"/>
          <w:szCs w:val="24"/>
        </w:rPr>
        <w:t>r</w:t>
      </w:r>
      <w:r w:rsidR="00FB16DC">
        <w:rPr>
          <w:bCs/>
          <w:sz w:val="21"/>
          <w:szCs w:val="24"/>
        </w:rPr>
        <w:t>egión Metropolitana</w:t>
      </w:r>
      <w:r w:rsidR="003A63DA">
        <w:rPr>
          <w:bCs/>
          <w:sz w:val="21"/>
          <w:szCs w:val="24"/>
        </w:rPr>
        <w:t xml:space="preserve"> (</w:t>
      </w:r>
      <w:r w:rsidR="00D252B3" w:rsidRPr="00D252B3">
        <w:rPr>
          <w:bCs/>
          <w:sz w:val="21"/>
          <w:szCs w:val="24"/>
        </w:rPr>
        <w:t>en Rancagua</w:t>
      </w:r>
      <w:r w:rsidR="003A63DA">
        <w:rPr>
          <w:bCs/>
          <w:sz w:val="21"/>
          <w:szCs w:val="24"/>
        </w:rPr>
        <w:t>)</w:t>
      </w:r>
      <w:r w:rsidR="004A31DC">
        <w:rPr>
          <w:bCs/>
          <w:sz w:val="21"/>
          <w:szCs w:val="24"/>
        </w:rPr>
        <w:t xml:space="preserve"> y</w:t>
      </w:r>
      <w:r w:rsidR="00770DDD">
        <w:rPr>
          <w:bCs/>
          <w:sz w:val="21"/>
          <w:szCs w:val="24"/>
        </w:rPr>
        <w:t xml:space="preserve"> en 2005 </w:t>
      </w:r>
      <w:r w:rsidR="006C0259">
        <w:rPr>
          <w:bCs/>
          <w:sz w:val="21"/>
          <w:szCs w:val="24"/>
        </w:rPr>
        <w:t>desarrolló</w:t>
      </w:r>
      <w:r w:rsidR="00770DDD">
        <w:rPr>
          <w:bCs/>
          <w:sz w:val="21"/>
          <w:szCs w:val="24"/>
        </w:rPr>
        <w:t xml:space="preserve"> un plan de d</w:t>
      </w:r>
      <w:r w:rsidR="006E6F96" w:rsidRPr="006E6F96">
        <w:rPr>
          <w:bCs/>
          <w:sz w:val="21"/>
          <w:szCs w:val="24"/>
        </w:rPr>
        <w:t>iversificación y ampliación de portafolio de productos (pisos blandos, hidrosanitarios, muebles de cocina y closet, cubiertas)</w:t>
      </w:r>
      <w:r w:rsidR="00770DDD">
        <w:rPr>
          <w:bCs/>
          <w:sz w:val="21"/>
          <w:szCs w:val="24"/>
        </w:rPr>
        <w:t>.</w:t>
      </w:r>
    </w:p>
    <w:p w14:paraId="07747856" w14:textId="73DDE780" w:rsidR="00757587" w:rsidRDefault="00770DDD" w:rsidP="001C418F">
      <w:pPr>
        <w:pStyle w:val="Textoindependiente3"/>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jc w:val="both"/>
        <w:rPr>
          <w:bCs/>
          <w:sz w:val="21"/>
          <w:szCs w:val="24"/>
        </w:rPr>
      </w:pPr>
      <w:r>
        <w:rPr>
          <w:bCs/>
          <w:sz w:val="21"/>
          <w:szCs w:val="24"/>
        </w:rPr>
        <w:t>Durante el año 2007 s</w:t>
      </w:r>
      <w:r w:rsidR="00AD6B6D" w:rsidRPr="00AD6B6D">
        <w:rPr>
          <w:bCs/>
          <w:sz w:val="21"/>
          <w:szCs w:val="24"/>
        </w:rPr>
        <w:t>e fund</w:t>
      </w:r>
      <w:r>
        <w:rPr>
          <w:bCs/>
          <w:sz w:val="21"/>
          <w:szCs w:val="24"/>
        </w:rPr>
        <w:t>ó</w:t>
      </w:r>
      <w:r w:rsidR="00AD6B6D" w:rsidRPr="00AD6B6D">
        <w:rPr>
          <w:bCs/>
          <w:sz w:val="21"/>
          <w:szCs w:val="24"/>
        </w:rPr>
        <w:t xml:space="preserve"> el grupo </w:t>
      </w:r>
      <w:proofErr w:type="spellStart"/>
      <w:r w:rsidR="00AD6B6D" w:rsidRPr="00AD6B6D">
        <w:rPr>
          <w:bCs/>
          <w:sz w:val="21"/>
          <w:szCs w:val="24"/>
        </w:rPr>
        <w:t>Klipen</w:t>
      </w:r>
      <w:proofErr w:type="spellEnd"/>
      <w:r w:rsidR="00AD6B6D" w:rsidRPr="00AD6B6D">
        <w:rPr>
          <w:bCs/>
          <w:sz w:val="21"/>
          <w:szCs w:val="24"/>
        </w:rPr>
        <w:t xml:space="preserve">, el cual se </w:t>
      </w:r>
      <w:r w:rsidR="00120235">
        <w:rPr>
          <w:bCs/>
          <w:sz w:val="21"/>
          <w:szCs w:val="24"/>
        </w:rPr>
        <w:t>origina</w:t>
      </w:r>
      <w:r w:rsidR="00AD6B6D" w:rsidRPr="00AD6B6D">
        <w:rPr>
          <w:bCs/>
          <w:sz w:val="21"/>
          <w:szCs w:val="24"/>
        </w:rPr>
        <w:t xml:space="preserve"> desde un poder comprador al desarrollo de una marca con presencia en toda Latinoamérica</w:t>
      </w:r>
      <w:r w:rsidR="004A31DC">
        <w:rPr>
          <w:bCs/>
          <w:sz w:val="21"/>
          <w:szCs w:val="24"/>
        </w:rPr>
        <w:t>.</w:t>
      </w:r>
    </w:p>
    <w:p w14:paraId="71FEE15C" w14:textId="2585326B" w:rsidR="00DD5447" w:rsidRPr="00D5156E" w:rsidRDefault="003377A3" w:rsidP="001C418F">
      <w:pPr>
        <w:pStyle w:val="Textoindependiente3"/>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jc w:val="both"/>
        <w:rPr>
          <w:bCs/>
          <w:sz w:val="21"/>
          <w:szCs w:val="24"/>
        </w:rPr>
      </w:pPr>
      <w:r>
        <w:rPr>
          <w:bCs/>
          <w:sz w:val="21"/>
          <w:szCs w:val="24"/>
        </w:rPr>
        <w:t>A la fecha</w:t>
      </w:r>
      <w:r w:rsidR="00045FF8">
        <w:rPr>
          <w:bCs/>
          <w:sz w:val="21"/>
          <w:szCs w:val="24"/>
        </w:rPr>
        <w:t xml:space="preserve">, </w:t>
      </w:r>
      <w:r w:rsidR="00F1212F">
        <w:rPr>
          <w:bCs/>
          <w:sz w:val="21"/>
          <w:szCs w:val="24"/>
        </w:rPr>
        <w:t xml:space="preserve">la compañía </w:t>
      </w:r>
      <w:r w:rsidR="004E7D76">
        <w:rPr>
          <w:bCs/>
          <w:sz w:val="21"/>
          <w:szCs w:val="24"/>
        </w:rPr>
        <w:t xml:space="preserve">continúa </w:t>
      </w:r>
      <w:r w:rsidR="00F1212F">
        <w:rPr>
          <w:bCs/>
          <w:sz w:val="21"/>
          <w:szCs w:val="24"/>
        </w:rPr>
        <w:t>ampliando sus operaciones,</w:t>
      </w:r>
      <w:r w:rsidR="00782A43">
        <w:rPr>
          <w:bCs/>
          <w:sz w:val="21"/>
          <w:szCs w:val="24"/>
        </w:rPr>
        <w:t xml:space="preserve"> lo que se </w:t>
      </w:r>
      <w:r w:rsidR="003F32D1">
        <w:rPr>
          <w:bCs/>
          <w:sz w:val="21"/>
          <w:szCs w:val="24"/>
        </w:rPr>
        <w:t>evidencia</w:t>
      </w:r>
      <w:r w:rsidR="00782A43">
        <w:rPr>
          <w:bCs/>
          <w:sz w:val="21"/>
          <w:szCs w:val="24"/>
        </w:rPr>
        <w:t xml:space="preserve"> en que </w:t>
      </w:r>
      <w:r>
        <w:rPr>
          <w:bCs/>
          <w:sz w:val="21"/>
          <w:szCs w:val="24"/>
        </w:rPr>
        <w:t>durante</w:t>
      </w:r>
      <w:r w:rsidR="00782A43">
        <w:rPr>
          <w:bCs/>
          <w:sz w:val="21"/>
          <w:szCs w:val="24"/>
        </w:rPr>
        <w:t xml:space="preserve"> 2021</w:t>
      </w:r>
      <w:r w:rsidR="004E7D76">
        <w:rPr>
          <w:bCs/>
          <w:sz w:val="21"/>
          <w:szCs w:val="24"/>
        </w:rPr>
        <w:t xml:space="preserve"> </w:t>
      </w:r>
      <w:r w:rsidR="00E4023B">
        <w:rPr>
          <w:bCs/>
          <w:sz w:val="21"/>
          <w:szCs w:val="24"/>
        </w:rPr>
        <w:t xml:space="preserve">se encuentra en la segunda etapa de </w:t>
      </w:r>
      <w:r w:rsidR="00FF3471">
        <w:rPr>
          <w:bCs/>
          <w:sz w:val="21"/>
          <w:szCs w:val="24"/>
        </w:rPr>
        <w:t>extensión</w:t>
      </w:r>
      <w:r w:rsidR="00F1212F">
        <w:rPr>
          <w:bCs/>
          <w:sz w:val="21"/>
          <w:szCs w:val="24"/>
        </w:rPr>
        <w:t xml:space="preserve"> de su</w:t>
      </w:r>
      <w:r w:rsidR="00F1212F" w:rsidRPr="00F1212F">
        <w:rPr>
          <w:bCs/>
          <w:sz w:val="21"/>
          <w:szCs w:val="24"/>
        </w:rPr>
        <w:t xml:space="preserve"> centro de distribución, </w:t>
      </w:r>
      <w:r w:rsidR="00E4023B">
        <w:rPr>
          <w:bCs/>
          <w:sz w:val="21"/>
          <w:szCs w:val="24"/>
        </w:rPr>
        <w:t>y además lanzó una</w:t>
      </w:r>
      <w:r w:rsidR="00E4023B" w:rsidRPr="00E4023B">
        <w:rPr>
          <w:bCs/>
          <w:sz w:val="21"/>
          <w:szCs w:val="24"/>
        </w:rPr>
        <w:t xml:space="preserve"> plataforma de </w:t>
      </w:r>
      <w:r w:rsidR="00E4023B" w:rsidRPr="003F32D1">
        <w:rPr>
          <w:bCs/>
          <w:i/>
          <w:iCs/>
          <w:sz w:val="21"/>
          <w:szCs w:val="24"/>
        </w:rPr>
        <w:t>e-</w:t>
      </w:r>
      <w:proofErr w:type="spellStart"/>
      <w:r w:rsidR="00E4023B" w:rsidRPr="003F32D1">
        <w:rPr>
          <w:bCs/>
          <w:i/>
          <w:iCs/>
          <w:sz w:val="21"/>
          <w:szCs w:val="24"/>
        </w:rPr>
        <w:t>commerce</w:t>
      </w:r>
      <w:proofErr w:type="spellEnd"/>
      <w:r w:rsidR="00324E65">
        <w:rPr>
          <w:bCs/>
          <w:sz w:val="21"/>
          <w:szCs w:val="24"/>
        </w:rPr>
        <w:t xml:space="preserve"> para </w:t>
      </w:r>
      <w:r w:rsidR="00045FF8">
        <w:rPr>
          <w:bCs/>
          <w:sz w:val="21"/>
          <w:szCs w:val="24"/>
        </w:rPr>
        <w:t>extender</w:t>
      </w:r>
      <w:r w:rsidR="00324E65">
        <w:rPr>
          <w:bCs/>
          <w:sz w:val="21"/>
          <w:szCs w:val="24"/>
        </w:rPr>
        <w:t xml:space="preserve"> la base de clientes</w:t>
      </w:r>
      <w:r w:rsidR="00E4023B">
        <w:rPr>
          <w:bCs/>
          <w:sz w:val="21"/>
          <w:szCs w:val="24"/>
        </w:rPr>
        <w:t>.</w:t>
      </w:r>
    </w:p>
    <w:p w14:paraId="7ADA4F51" w14:textId="77777777" w:rsidR="00DD5447" w:rsidRDefault="00DD5447" w:rsidP="001C418F">
      <w:pPr>
        <w:spacing w:after="120"/>
      </w:pPr>
    </w:p>
    <w:p w14:paraId="626CC69E" w14:textId="77777777" w:rsidR="00B86B2E" w:rsidRPr="00DD5447" w:rsidRDefault="00B86B2E" w:rsidP="001C418F">
      <w:pPr>
        <w:spacing w:after="120"/>
      </w:pPr>
    </w:p>
    <w:p w14:paraId="4142C3A0" w14:textId="1D770E90" w:rsidR="004D1C31" w:rsidRDefault="004D1C31" w:rsidP="004D1C31">
      <w:pPr>
        <w:pStyle w:val="Ttulo"/>
        <w:spacing w:after="120" w:line="240" w:lineRule="auto"/>
        <w:contextualSpacing w:val="0"/>
      </w:pPr>
      <w:r>
        <w:lastRenderedPageBreak/>
        <w:t xml:space="preserve">Estructura </w:t>
      </w:r>
      <w:r w:rsidR="001C418F">
        <w:t>s</w:t>
      </w:r>
      <w:r>
        <w:t>ocietaria</w:t>
      </w:r>
    </w:p>
    <w:p w14:paraId="7B765BFD" w14:textId="1B1725EB" w:rsidR="001C418F" w:rsidRPr="001C418F" w:rsidRDefault="001C418F" w:rsidP="001C418F">
      <w:r>
        <w:rPr>
          <w:noProof/>
        </w:rPr>
        <mc:AlternateContent>
          <mc:Choice Requires="wps">
            <w:drawing>
              <wp:anchor distT="0" distB="0" distL="114300" distR="114300" simplePos="0" relativeHeight="251669507" behindDoc="0" locked="0" layoutInCell="1" allowOverlap="1" wp14:anchorId="1A9CEDD7" wp14:editId="543DB534">
                <wp:simplePos x="0" y="0"/>
                <wp:positionH relativeFrom="column">
                  <wp:posOffset>3636010</wp:posOffset>
                </wp:positionH>
                <wp:positionV relativeFrom="paragraph">
                  <wp:posOffset>62865</wp:posOffset>
                </wp:positionV>
                <wp:extent cx="526415" cy="1924685"/>
                <wp:effectExtent l="43815" t="0" r="31750" b="69850"/>
                <wp:wrapNone/>
                <wp:docPr id="62" name="Connector: Elbow 61">
                  <a:extLst xmlns:a="http://schemas.openxmlformats.org/drawingml/2006/main">
                    <a:ext uri="{FF2B5EF4-FFF2-40B4-BE49-F238E27FC236}">
                      <a16:creationId xmlns:a16="http://schemas.microsoft.com/office/drawing/2014/main" id="{CCB8CB23-A64A-4319-BA91-91D8B433CA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26415" cy="1924685"/>
                        </a:xfrm>
                        <a:prstGeom prst="bentConnector3">
                          <a:avLst>
                            <a:gd name="adj1" fmla="val 50000"/>
                          </a:avLst>
                        </a:prstGeom>
                        <a:ln>
                          <a:solidFill>
                            <a:srgbClr val="1025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22CC8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26" type="#_x0000_t34" style="position:absolute;margin-left:286.3pt;margin-top:4.95pt;width:41.45pt;height:151.55pt;rotation:90;z-index:2516695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faAgIAAFcEAAAOAAAAZHJzL2Uyb0RvYy54bWysVE2P2yAUvFfqf0DcG9vZONpacfaQbXpZ&#10;tavu9gcQDA4t8BDQxPn3fWDH/VSlVs0BBfNm3szw7M3dYDQ5CR8U2JZWi5ISYTl0yvYt/fi8f3VL&#10;SYjMdkyDFS29iEDvti9fbM6uEUs4gu6EJ0hiQ3N2LT3G6JqiCPwoDAsLcMLioQRvWMSt74vOszOy&#10;G10sy3JdnMF3zgMXIeDT+/GQbjO/lILH91IGEYluKWqLefV5PaS12G5Y03vmjopPMtg/qDBMWWw6&#10;U92zyMgXr36hMop7CCDjgoMpQErFRfaAbqryJzdPR+ZE9oLhBDfHFP4fLX932tlHn6TzwT65B+Cf&#10;A4ZSnF1o5sO0CW4sG6Q3xAMmWa/K9Mu+0QkZcqyXOVYxRMLxYb1cr6qaEo5H1evlan1bp9wL1iSu&#10;1Nr5EN8KMCT9aelB2LgDa/H2wN9kfnZ6CDEH3BHLDE4S6z5VlEij8b5OTJM6axl5p2rscGVOUG3T&#10;GkCrbq+0zhvfH3baEyRAbeWyvtlP0n4oi0zpN7Yj8eKwc/SK2V6LqTLR5rjGhHJW8aLF2PKDkER1&#10;mEKVfeTBFnNLxjl6rWYmrE4wifJm4BjwH4FTfYKKPPR/A54RuTPYOIONsuB/JzsOV8lyrL8mMPpO&#10;ERyguzz66yTh9OYLn9609Hp8v8/wb9+D7VcAAAD//wMAUEsDBBQABgAIAAAAIQBNeqzE3AAAAAsB&#10;AAAPAAAAZHJzL2Rvd25yZXYueG1sTI/BTsMwEETvSPyDtUjcqENEDIQ4FSriTtNKXJ14G0fE6yh2&#10;m/D3LCc4ruZp5m21Xf0oLjjHIZCG+00GAqkLdqBew/HwfvcEIiZD1oyBUMM3RtjW11eVKW1YaI+X&#10;JvWCSyiWRoNLaSqljJ1Db+ImTEicncLsTeJz7qWdzcLlfpR5linpzUC84MyEO4fdV3P2GnafhXpT&#10;o1yOvi1O+6Zfg/xwWt/erK8vIBKu6Q+GX31Wh5qd2nAmG8Wo4UHlBaMc8A4IJh5VoUC0GvIsfwZZ&#10;V/L/D/UPAAAA//8DAFBLAQItABQABgAIAAAAIQC2gziS/gAAAOEBAAATAAAAAAAAAAAAAAAAAAAA&#10;AABbQ29udGVudF9UeXBlc10ueG1sUEsBAi0AFAAGAAgAAAAhADj9If/WAAAAlAEAAAsAAAAAAAAA&#10;AAAAAAAALwEAAF9yZWxzLy5yZWxzUEsBAi0AFAAGAAgAAAAhAKR8J9oCAgAAVwQAAA4AAAAAAAAA&#10;AAAAAAAALgIAAGRycy9lMm9Eb2MueG1sUEsBAi0AFAAGAAgAAAAhAE16rMTcAAAACwEAAA8AAAAA&#10;AAAAAAAAAAAAXAQAAGRycy9kb3ducmV2LnhtbFBLBQYAAAAABAAEAPMAAABlBQAAAAA=&#10;" strokecolor="#10253f" strokeweight=".5pt">
                <v:stroke endarrow="block"/>
                <o:lock v:ext="edit" shapetype="f"/>
              </v:shape>
            </w:pict>
          </mc:Fallback>
        </mc:AlternateContent>
      </w:r>
      <w:r>
        <w:rPr>
          <w:noProof/>
        </w:rPr>
        <mc:AlternateContent>
          <mc:Choice Requires="wps">
            <w:drawing>
              <wp:anchor distT="0" distB="0" distL="114300" distR="114300" simplePos="0" relativeHeight="251667459" behindDoc="0" locked="0" layoutInCell="1" allowOverlap="1" wp14:anchorId="416CE54A" wp14:editId="62167206">
                <wp:simplePos x="0" y="0"/>
                <wp:positionH relativeFrom="column">
                  <wp:posOffset>1729423</wp:posOffset>
                </wp:positionH>
                <wp:positionV relativeFrom="paragraph">
                  <wp:posOffset>83502</wp:posOffset>
                </wp:positionV>
                <wp:extent cx="521970" cy="1886585"/>
                <wp:effectExtent l="3492" t="0" r="72073" b="53022"/>
                <wp:wrapNone/>
                <wp:docPr id="60" name="Connector: Elbow 59">
                  <a:extLst xmlns:a="http://schemas.openxmlformats.org/drawingml/2006/main">
                    <a:ext uri="{FF2B5EF4-FFF2-40B4-BE49-F238E27FC236}">
                      <a16:creationId xmlns:a16="http://schemas.microsoft.com/office/drawing/2014/main" id="{F57AF514-762D-4126-AF00-D6851D1CD1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521970" cy="1886585"/>
                        </a:xfrm>
                        <a:prstGeom prst="bentConnector3">
                          <a:avLst/>
                        </a:prstGeom>
                        <a:ln>
                          <a:solidFill>
                            <a:srgbClr val="1025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8DA12" id="Connector: Elbow 59" o:spid="_x0000_s1026" type="#_x0000_t34" style="position:absolute;margin-left:136.2pt;margin-top:6.55pt;width:41.1pt;height:148.55pt;rotation:90;flip:x;z-index:2516674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rC8QEAADUEAAAOAAAAZHJzL2Uyb0RvYy54bWysU02P0zAQvSPxHyzfaZKuWkrUdA9dCocV&#10;rFj2B7iOnVo4Hmts2vTfM3ba8KmVQORgxfa8N/PejNe3Q2/ZUWEw4BpezUrOlJPQGtc1/Onz7tWK&#10;sxCFa4UFpxp+VoHfbl6+WJ98reZwANsqZETiQn3yDT/E6OuiCPKgehFm4JWjSw3Yi0hb7IoWxYnY&#10;e1vMy3JZnABbjyBVCHR6N17yTebXWsn4UeugIrMNp9piXjGv+7QWm7WoOxT+YOSlDPEPVfTCOEo6&#10;Ud2JKNhXNL9R9UYiBNBxJqEvQGsjVdZAaqryFzWPB+FV1kLmBD/ZFP4frfxw3LoHTKXLwT36e5Bf&#10;AplSnHyop8u0CX4MGzT2DIGcrJbUAfo409b493SQLSBRbMgOnyeH1RCZpMPFvHrzmgCSrqrVarlY&#10;LVILClEn2lSFxxDfKehZ+mn4Xrm4BeeokYA3mV8c70McQdfgBLQurQGsaXfG2rzBbr+1yI6Cul+V&#10;88XN7pLtp7AojH3rWhbPniY0ohGus+oSmWizGaP+7EQ8WzWm/KQ0My0JG6XnsVVTSiEllV9NTBSd&#10;YJrKm4Bl1vQs8BKfoCqP9N+AJ0TODC5O4N44wD9lj8O1ZD3GXx0YdScL9tCeH/A6JzSbuYeXd5SG&#10;/8d9hn9/7ZtvAAAA//8DAFBLAwQUAAYACAAAACEAOeXEC98AAAALAQAADwAAAGRycy9kb3ducmV2&#10;LnhtbEyPPU/DMBCGdyT+g3VILIjatUqUhjgVQnQEqYGFzY1NEojPwXaa8O85Jrrdq3v0fpS7xQ3s&#10;ZEPsPSpYrwQwi403PbYK3l73tzmwmDQaPXi0Cn5shF11eVHqwvgZD/ZUp5aRCcZCK+hSGgvOY9NZ&#10;p+PKjxbp9+GD04lkaLkJeiZzN3ApRMad7pESOj3ax842X/XkFDTTYa3zOXxPN88xrz/379uXpzul&#10;rq+Wh3tgyS7pH4a/+lQdKup09BOayAbS2WZLKB1SZMCI2GSS1h0VSCFz4FXJzzdUvwAAAP//AwBQ&#10;SwECLQAUAAYACAAAACEAtoM4kv4AAADhAQAAEwAAAAAAAAAAAAAAAAAAAAAAW0NvbnRlbnRfVHlw&#10;ZXNdLnhtbFBLAQItABQABgAIAAAAIQA4/SH/1gAAAJQBAAALAAAAAAAAAAAAAAAAAC8BAABfcmVs&#10;cy8ucmVsc1BLAQItABQABgAIAAAAIQDEARrC8QEAADUEAAAOAAAAAAAAAAAAAAAAAC4CAABkcnMv&#10;ZTJvRG9jLnhtbFBLAQItABQABgAIAAAAIQA55cQL3wAAAAsBAAAPAAAAAAAAAAAAAAAAAEsEAABk&#10;cnMvZG93bnJldi54bWxQSwUGAAAAAAQABADzAAAAVwUAAAAA&#10;" strokecolor="#10253f" strokeweight=".5pt">
                <v:stroke endarrow="block"/>
                <o:lock v:ext="edit" shapetype="f"/>
              </v:shape>
            </w:pict>
          </mc:Fallback>
        </mc:AlternateContent>
      </w:r>
    </w:p>
    <w:p w14:paraId="11745F71" w14:textId="2505E217" w:rsidR="008B50F3" w:rsidRDefault="009577E3" w:rsidP="004D1C31">
      <w:r>
        <w:rPr>
          <w:noProof/>
        </w:rPr>
        <mc:AlternateContent>
          <mc:Choice Requires="wps">
            <w:drawing>
              <wp:anchor distT="0" distB="0" distL="114300" distR="114300" simplePos="0" relativeHeight="251670531" behindDoc="0" locked="0" layoutInCell="1" allowOverlap="1" wp14:anchorId="37F02087" wp14:editId="0171B55B">
                <wp:simplePos x="0" y="0"/>
                <wp:positionH relativeFrom="column">
                  <wp:posOffset>3296920</wp:posOffset>
                </wp:positionH>
                <wp:positionV relativeFrom="paragraph">
                  <wp:posOffset>1466850</wp:posOffset>
                </wp:positionV>
                <wp:extent cx="871855" cy="1905"/>
                <wp:effectExtent l="0" t="76200" r="23495" b="93345"/>
                <wp:wrapNone/>
                <wp:docPr id="65" name="Straight Arrow Connector 64">
                  <a:extLst xmlns:a="http://schemas.openxmlformats.org/drawingml/2006/main">
                    <a:ext uri="{FF2B5EF4-FFF2-40B4-BE49-F238E27FC236}">
                      <a16:creationId xmlns:a16="http://schemas.microsoft.com/office/drawing/2014/main" id="{65729B9A-0BC9-4176-BF95-CF6AE5B3EA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1905"/>
                        </a:xfrm>
                        <a:prstGeom prst="straightConnector1">
                          <a:avLst/>
                        </a:prstGeom>
                        <a:ln>
                          <a:solidFill>
                            <a:srgbClr val="1025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001D33" id="_x0000_t32" coordsize="21600,21600" o:spt="32" o:oned="t" path="m,l21600,21600e" filled="f">
                <v:path arrowok="t" fillok="f" o:connecttype="none"/>
                <o:lock v:ext="edit" shapetype="t"/>
              </v:shapetype>
              <v:shape id="Straight Arrow Connector 64" o:spid="_x0000_s1026" type="#_x0000_t32" style="position:absolute;margin-left:259.6pt;margin-top:115.5pt;width:68.65pt;height:.15pt;z-index:2516705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Y93wEAAB0EAAAOAAAAZHJzL2Uyb0RvYy54bWysU02P0zAQvSPxHyzfaZKiQoma7qFLuaxg&#10;xS4/wHXGiYVjW+OhTf89ttOGT620iMso9sx7M+95srkZB8OOgEE72/BqUXIGVrpW267hXx73r9ac&#10;BRK2FcZZaPgZAr/ZvnyxOfkalq53pgVkkcSG+uQb3hP5uiiC7GEQYeE82JhUDgdB8Yhd0aI4RfbB&#10;FMuyfFOcHLYenYQQ4u3tlOTbzK8USPqkVABipuFxNsoRczykWGw3ou5Q+F7LyxjiH6YYhLax6Ux1&#10;K0iwb6j/oBq0RBecooV0Q+GU0hKyhqimKn9T89ALD1lLNCf42abw/2jlx+PO3mMaXY72wd85+TVE&#10;U4qTD/WcTIfgp7JR4ZDK4+xszEaeZyNhJCbj5fpttV6tOJMxVb0rV8nmQtRXqMdAH8ANLH00PBAK&#10;3fW0c9bGB3NYZSvF8S7QBLwCUl9jUwzO6HavjckH7A47g+wo4itX5XL1en/p+EsZCW3e25bR2cdN&#10;JNTCdgYulYk2i550ZsV0NjC1/AyK6TYqm0bL6wlzSyElWKpmplidYCqONwPLrOlJ4KU+QSGv7nPA&#10;MyJ3dpZm8KCtw791p/E6sprqrw5MupMFB9ee7/G6D3EH8zte/pe05D+fM/zHX739DgAA//8DAFBL&#10;AwQUAAYACAAAACEAYsVcad4AAAALAQAADwAAAGRycy9kb3ducmV2LnhtbEyPTU+DQBCG7yb+h800&#10;8WLsAg2kUpbGSEyMt9b2vmVHIGVnCbul+O8dvdjjvPPk/Si2s+3FhKPvHCmIlxEIpNqZjhoFh8+3&#10;pzUIHzQZ3TtCBd/oYVve3xU6N+5KO5z2oRFsQj7XCtoQhlxKX7dotV+6AYl/X260OvA5NtKM+srm&#10;tpdJFGXS6o44odUDvrZYn/cXq2D3eFgfp+qjYjVO37PUn6tjrdTDYn7ZgAg4h38YfutzdSi508ld&#10;yHjRK0jj54RRBckq5lFMZGmWgjj9KSuQZSFvN5Q/AAAA//8DAFBLAQItABQABgAIAAAAIQC2gziS&#10;/gAAAOEBAAATAAAAAAAAAAAAAAAAAAAAAABbQ29udGVudF9UeXBlc10ueG1sUEsBAi0AFAAGAAgA&#10;AAAhADj9If/WAAAAlAEAAAsAAAAAAAAAAAAAAAAALwEAAF9yZWxzLy5yZWxzUEsBAi0AFAAGAAgA&#10;AAAhABKORj3fAQAAHQQAAA4AAAAAAAAAAAAAAAAALgIAAGRycy9lMm9Eb2MueG1sUEsBAi0AFAAG&#10;AAgAAAAhAGLFXGneAAAACwEAAA8AAAAAAAAAAAAAAAAAOQQAAGRycy9kb3ducmV2LnhtbFBLBQYA&#10;AAAABAAEAPMAAABEBQAAAAA=&#10;" strokecolor="#10253f" strokeweight=".5pt">
                <v:stroke endarrow="block" joinstyle="miter"/>
                <o:lock v:ext="edit" shapetype="f"/>
              </v:shape>
            </w:pict>
          </mc:Fallback>
        </mc:AlternateContent>
      </w:r>
      <w:r>
        <w:rPr>
          <w:noProof/>
        </w:rPr>
        <mc:AlternateContent>
          <mc:Choice Requires="wpg">
            <w:drawing>
              <wp:anchor distT="0" distB="0" distL="114300" distR="114300" simplePos="0" relativeHeight="251662339" behindDoc="0" locked="0" layoutInCell="1" allowOverlap="1" wp14:anchorId="0B24AA5A" wp14:editId="60CC3456">
                <wp:simplePos x="0" y="0"/>
                <wp:positionH relativeFrom="column">
                  <wp:posOffset>1798955</wp:posOffset>
                </wp:positionH>
                <wp:positionV relativeFrom="paragraph">
                  <wp:posOffset>13970</wp:posOffset>
                </wp:positionV>
                <wp:extent cx="1152525" cy="552450"/>
                <wp:effectExtent l="0" t="0" r="28575" b="19050"/>
                <wp:wrapNone/>
                <wp:docPr id="48" name="Group 48"/>
                <wp:cNvGraphicFramePr/>
                <a:graphic xmlns:a="http://schemas.openxmlformats.org/drawingml/2006/main">
                  <a:graphicData uri="http://schemas.microsoft.com/office/word/2010/wordprocessingGroup">
                    <wpg:wgp>
                      <wpg:cNvGrpSpPr/>
                      <wpg:grpSpPr>
                        <a:xfrm>
                          <a:off x="0" y="0"/>
                          <a:ext cx="1152525" cy="552450"/>
                          <a:chOff x="1271179" y="1133"/>
                          <a:chExt cx="720330" cy="551804"/>
                        </a:xfrm>
                      </wpg:grpSpPr>
                      <wps:wsp>
                        <wps:cNvPr id="70" name="Rectangle 71"/>
                        <wps:cNvSpPr/>
                        <wps:spPr bwMode="auto">
                          <a:xfrm>
                            <a:off x="1271179" y="277388"/>
                            <a:ext cx="720330" cy="275549"/>
                          </a:xfrm>
                          <a:prstGeom prst="rect">
                            <a:avLst/>
                          </a:prstGeom>
                          <a:solidFill>
                            <a:srgbClr val="205582"/>
                          </a:solidFill>
                          <a:ln>
                            <a:solidFill>
                              <a:srgbClr val="ADBFC3"/>
                            </a:solidFill>
                          </a:ln>
                          <a:effectLst/>
                        </wps:spPr>
                        <wps:txbx>
                          <w:txbxContent>
                            <w:p w14:paraId="13947DBF"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 xml:space="preserve">Inv. Ibiza </w:t>
                              </w:r>
                              <w:r w:rsidRPr="009577E3">
                                <w:rPr>
                                  <w:rFonts w:eastAsia="Open Sans" w:cs="Open Sans"/>
                                  <w:color w:val="FFFFFF" w:themeColor="background1"/>
                                  <w:sz w:val="16"/>
                                  <w:szCs w:val="16"/>
                                </w:rPr>
                                <w:br/>
                                <w:t>Ltda.</w:t>
                              </w:r>
                            </w:p>
                          </w:txbxContent>
                        </wps:txbx>
                        <wps:bodyPr vert="horz" wrap="square" lIns="0" tIns="0" rIns="0" bIns="0" numCol="1" rtlCol="0" anchor="ctr" anchorCtr="0" compatLnSpc="1">
                          <a:prstTxWarp prst="textNoShape">
                            <a:avLst/>
                          </a:prstTxWarp>
                        </wps:bodyPr>
                      </wps:wsp>
                      <wps:wsp>
                        <wps:cNvPr id="71" name="Rectangle 72"/>
                        <wps:cNvSpPr/>
                        <wps:spPr bwMode="auto">
                          <a:xfrm>
                            <a:off x="1272443" y="1133"/>
                            <a:ext cx="719065" cy="275550"/>
                          </a:xfrm>
                          <a:prstGeom prst="rect">
                            <a:avLst/>
                          </a:prstGeom>
                          <a:solidFill>
                            <a:schemeClr val="bg1"/>
                          </a:solidFill>
                          <a:ln>
                            <a:solidFill>
                              <a:srgbClr val="ADBFC3"/>
                            </a:solidFill>
                          </a:ln>
                          <a:effectLst/>
                        </wps:spPr>
                        <wps:txbx>
                          <w:txbxContent>
                            <w:p w14:paraId="42A8C6F4"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Javier </w:t>
                              </w:r>
                              <w:proofErr w:type="spellStart"/>
                              <w:r w:rsidRPr="009577E3">
                                <w:rPr>
                                  <w:color w:val="10253F"/>
                                  <w:sz w:val="16"/>
                                  <w:szCs w:val="16"/>
                                  <w:lang w:val="es-ES"/>
                                </w:rPr>
                                <w:t>Khamis</w:t>
                              </w:r>
                              <w:proofErr w:type="spellEnd"/>
                              <w:r w:rsidRPr="009577E3">
                                <w:rPr>
                                  <w:color w:val="10253F"/>
                                  <w:sz w:val="16"/>
                                  <w:szCs w:val="16"/>
                                  <w:lang w:val="es-ES"/>
                                </w:rPr>
                                <w:t xml:space="preserve"> J.</w:t>
                              </w:r>
                            </w:p>
                            <w:p w14:paraId="5FE54BD1"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Sebastián </w:t>
                              </w:r>
                              <w:proofErr w:type="spellStart"/>
                              <w:r w:rsidRPr="009577E3">
                                <w:rPr>
                                  <w:color w:val="10253F"/>
                                  <w:sz w:val="16"/>
                                  <w:szCs w:val="16"/>
                                  <w:lang w:val="es-ES"/>
                                </w:rPr>
                                <w:t>Khamis</w:t>
                              </w:r>
                              <w:proofErr w:type="spellEnd"/>
                              <w:r w:rsidRPr="009577E3">
                                <w:rPr>
                                  <w:color w:val="10253F"/>
                                  <w:sz w:val="16"/>
                                  <w:szCs w:val="16"/>
                                  <w:lang w:val="es-ES"/>
                                </w:rPr>
                                <w:t xml:space="preserve"> J.</w:t>
                              </w:r>
                            </w:p>
                          </w:txbxContent>
                        </wps:txbx>
                        <wps:bodyPr vert="horz" wrap="square" lIns="0" tIns="0" rIns="0" bIns="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24AA5A" id="Group 48" o:spid="_x0000_s1030" style="position:absolute;margin-left:141.65pt;margin-top:1.1pt;width:90.75pt;height:43.5pt;z-index:251662339;mso-width-relative:margin;mso-height-relative:margin" coordorigin="12711,11" coordsize="7203,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W3vQIAAOEHAAAOAAAAZHJzL2Uyb0RvYy54bWzclVtv2yAUx98n7Tsg3ldfEtepVafa0rWa&#10;1HXV2mnPGOOLZAMDErv99DvgS5NU2kO7vUyRCBg4nPM7/wPnF33boB1TuhY8xcGJjxHjVOQ1L1P8&#10;4+HqwwojbQjPSSM4S/Ej0/hi/f7deScTFopKNDlTCIxwnXQyxZUxMvE8TSvWEn0iJOMwWQjVEgND&#10;VXq5Ih1Ybxsv9P1TrxMql0pQpjV8vRwm8drZLwpGzbei0MygJsXgm3Gtcm1mW299TpJSEVnVdHSD&#10;vMKLltQcDp1NXRJD0FbVL0y1NVVCi8KcUNF6oihqylwMEE3gH0VzrcRWuljKpCvljAnQHnF6tVl6&#10;u7tW8l7eKSDRyRJYuJGNpS9Ua//BS9Q7ZI8zMtYbROFjEEQh/DCiMBdF4TIamdIKwNttQRgHQXyG&#10;ESwIgsViQE6rz6OFOPQXC0jNYCBY+Uu7wpuO9w6c6iTIRD+T0G8jcV8RyRxgnQCJO4XqPMUxeMNJ&#10;C2r9DvohvGwYigPrlT0e1s24dKKBHMq6ryKH5WRrhFPBEbl9BGEcL1arAcIEcR9BGEfR8uwAAUmk&#10;0uaaiRbZTooVuOXOIbsbbQZa0xKbMC2aOr+qm8YNVJltGoV2BEog9KNoFY7WD5Y1/M87P15+utq4&#10;5EFq9nbCaNjKXLWN/lhQFs2AzPRZ78i61Nq5TOSPAA4uDginEuoJow6KMMX615YohlHzhUNubcVO&#10;HTV1sqnDt+1GQFABRso0rgsbCKdgMMXUqGmwMUPFQ8lJYm74vaR2lw3YYnvofxIlR7YGknIrJmGQ&#10;5AjxsBb0+RzFOABZDtH+e31CwC/06ZL6en2Gy+XiqERndQZn/ulY4VadQ4XPBfpGddqLns36zEpX&#10;Z4cSmxS2pzqQ4L6s/4o4o6nC/1dxuqsU3hF3u45vnn2o9sdOzM8v8/o3AAAA//8DAFBLAwQUAAYA&#10;CAAAACEAl/OT698AAAAIAQAADwAAAGRycy9kb3ducmV2LnhtbEyPT0vDQBDF74LfYRnBm938qSXG&#10;bEop6qkItoJ422anSWh2NmS3SfrtHU96m8d7vPm9Yj3bTow4+NaRgngRgUCqnGmpVvB5eH3IQPig&#10;yejOESq4ood1eXtT6Ny4iT5w3IdacAn5XCtoQuhzKX3VoNV+4Xok9k5usDqwHGppBj1xue1kEkUr&#10;aXVL/KHRPW4brM77i1XwNulpk8Yv4+582l6/D4/vX7sYlbq/mzfPIALO4S8Mv/iMDiUzHd2FjBed&#10;giRLU47ykYBgf7la8pSjguwpAVkW8v+A8gcAAP//AwBQSwECLQAUAAYACAAAACEAtoM4kv4AAADh&#10;AQAAEwAAAAAAAAAAAAAAAAAAAAAAW0NvbnRlbnRfVHlwZXNdLnhtbFBLAQItABQABgAIAAAAIQA4&#10;/SH/1gAAAJQBAAALAAAAAAAAAAAAAAAAAC8BAABfcmVscy8ucmVsc1BLAQItABQABgAIAAAAIQBb&#10;z3W3vQIAAOEHAAAOAAAAAAAAAAAAAAAAAC4CAABkcnMvZTJvRG9jLnhtbFBLAQItABQABgAIAAAA&#10;IQCX85Pr3wAAAAgBAAAPAAAAAAAAAAAAAAAAABcFAABkcnMvZG93bnJldi54bWxQSwUGAAAAAAQA&#10;BADzAAAAIwYAAAAA&#10;">
                <v:rect id="Rectangle 71" o:spid="_x0000_s1031" style="position:absolute;left:12711;top:2773;width:7204;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TAwQAAANsAAAAPAAAAZHJzL2Rvd25yZXYueG1sRE/dasIw&#10;FL4f+A7hCN4Mm66DWTqjDEEoeDGsPsChOWuryUnXZG19++VisMuP73+7n60RIw2+c6zgJUlBENdO&#10;d9wouF6O6xyED8gajWNS8CAP+93iaYuFdhOfaaxCI2II+wIVtCH0hZS+bsmiT1xPHLkvN1gMEQ6N&#10;1ANOMdwamaXpm7TYcWxosadDS/W9+rEKbgf3nJ1f85Cl43d1OX0aLBuj1Go5f7yDCDSHf/Gfu9QK&#10;NnF9/BJ/gNz9AgAA//8DAFBLAQItABQABgAIAAAAIQDb4fbL7gAAAIUBAAATAAAAAAAAAAAAAAAA&#10;AAAAAABbQ29udGVudF9UeXBlc10ueG1sUEsBAi0AFAAGAAgAAAAhAFr0LFu/AAAAFQEAAAsAAAAA&#10;AAAAAAAAAAAAHwEAAF9yZWxzLy5yZWxzUEsBAi0AFAAGAAgAAAAhALIhhMDBAAAA2wAAAA8AAAAA&#10;AAAAAAAAAAAABwIAAGRycy9kb3ducmV2LnhtbFBLBQYAAAAAAwADALcAAAD1AgAAAAA=&#10;" fillcolor="#205582" strokecolor="#adbfc3">
                  <v:textbox inset="0,0,0,0">
                    <w:txbxContent>
                      <w:p w14:paraId="13947DBF"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 xml:space="preserve">Inv. Ibiza </w:t>
                        </w:r>
                        <w:r w:rsidRPr="009577E3">
                          <w:rPr>
                            <w:rFonts w:eastAsia="Open Sans" w:cs="Open Sans"/>
                            <w:color w:val="FFFFFF" w:themeColor="background1"/>
                            <w:sz w:val="16"/>
                            <w:szCs w:val="16"/>
                          </w:rPr>
                          <w:br/>
                          <w:t>Ltda.</w:t>
                        </w:r>
                      </w:p>
                    </w:txbxContent>
                  </v:textbox>
                </v:rect>
                <v:rect id="Rectangle 72" o:spid="_x0000_s1032" style="position:absolute;left:12724;top:11;width:7191;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twwAAANsAAAAPAAAAZHJzL2Rvd25yZXYueG1sRI9Ba8JA&#10;FITvBf/D8gRvdZMiVaKriEUUBEFtweMj+5oszb4N2dVEf31XEDwOM/MNM1t0thJXarxxrCAdJiCI&#10;c6cNFwq+T+v3CQgfkDVWjknBjTws5r23GWbatXyg6zEUIkLYZ6igDKHOpPR5SRb90NXE0ft1jcUQ&#10;ZVNI3WAb4baSH0nyKS0ajgsl1rQqKf87XqyCTXof3YPdt/Sz/6rtdnI774xRatDvllMQgbrwCj/b&#10;W61gnMLjS/wBcv4PAAD//wMAUEsBAi0AFAAGAAgAAAAhANvh9svuAAAAhQEAABMAAAAAAAAAAAAA&#10;AAAAAAAAAFtDb250ZW50X1R5cGVzXS54bWxQSwECLQAUAAYACAAAACEAWvQsW78AAAAVAQAACwAA&#10;AAAAAAAAAAAAAAAfAQAAX3JlbHMvLnJlbHNQSwECLQAUAAYACAAAACEA5x1krcMAAADbAAAADwAA&#10;AAAAAAAAAAAAAAAHAgAAZHJzL2Rvd25yZXYueG1sUEsFBgAAAAADAAMAtwAAAPcCAAAAAA==&#10;" fillcolor="white [3212]" strokecolor="#adbfc3">
                  <v:textbox inset="0,0,0,0">
                    <w:txbxContent>
                      <w:p w14:paraId="42A8C6F4"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Javier </w:t>
                        </w:r>
                        <w:proofErr w:type="spellStart"/>
                        <w:r w:rsidRPr="009577E3">
                          <w:rPr>
                            <w:color w:val="10253F"/>
                            <w:sz w:val="16"/>
                            <w:szCs w:val="16"/>
                            <w:lang w:val="es-ES"/>
                          </w:rPr>
                          <w:t>Khamis</w:t>
                        </w:r>
                        <w:proofErr w:type="spellEnd"/>
                        <w:r w:rsidRPr="009577E3">
                          <w:rPr>
                            <w:color w:val="10253F"/>
                            <w:sz w:val="16"/>
                            <w:szCs w:val="16"/>
                            <w:lang w:val="es-ES"/>
                          </w:rPr>
                          <w:t xml:space="preserve"> J.</w:t>
                        </w:r>
                      </w:p>
                      <w:p w14:paraId="5FE54BD1"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Sebastián </w:t>
                        </w:r>
                        <w:proofErr w:type="spellStart"/>
                        <w:r w:rsidRPr="009577E3">
                          <w:rPr>
                            <w:color w:val="10253F"/>
                            <w:sz w:val="16"/>
                            <w:szCs w:val="16"/>
                            <w:lang w:val="es-ES"/>
                          </w:rPr>
                          <w:t>Khamis</w:t>
                        </w:r>
                        <w:proofErr w:type="spellEnd"/>
                        <w:r w:rsidRPr="009577E3">
                          <w:rPr>
                            <w:color w:val="10253F"/>
                            <w:sz w:val="16"/>
                            <w:szCs w:val="16"/>
                            <w:lang w:val="es-ES"/>
                          </w:rPr>
                          <w:t xml:space="preserve"> J.</w:t>
                        </w:r>
                      </w:p>
                    </w:txbxContent>
                  </v:textbox>
                </v:rect>
              </v:group>
            </w:pict>
          </mc:Fallback>
        </mc:AlternateContent>
      </w:r>
      <w:r>
        <w:rPr>
          <w:noProof/>
        </w:rPr>
        <mc:AlternateContent>
          <mc:Choice Requires="wpg">
            <w:drawing>
              <wp:anchor distT="0" distB="0" distL="114300" distR="114300" simplePos="0" relativeHeight="251660291" behindDoc="0" locked="0" layoutInCell="1" allowOverlap="1" wp14:anchorId="525E7DF2" wp14:editId="4CB8A43C">
                <wp:simplePos x="0" y="0"/>
                <wp:positionH relativeFrom="column">
                  <wp:posOffset>465455</wp:posOffset>
                </wp:positionH>
                <wp:positionV relativeFrom="paragraph">
                  <wp:posOffset>13970</wp:posOffset>
                </wp:positionV>
                <wp:extent cx="1152525" cy="558800"/>
                <wp:effectExtent l="0" t="0" r="28575" b="12700"/>
                <wp:wrapNone/>
                <wp:docPr id="38" name="Grupo 8"/>
                <wp:cNvGraphicFramePr/>
                <a:graphic xmlns:a="http://schemas.openxmlformats.org/drawingml/2006/main">
                  <a:graphicData uri="http://schemas.microsoft.com/office/word/2010/wordprocessingGroup">
                    <wpg:wgp>
                      <wpg:cNvGrpSpPr/>
                      <wpg:grpSpPr>
                        <a:xfrm>
                          <a:off x="0" y="0"/>
                          <a:ext cx="1152525" cy="558800"/>
                          <a:chOff x="0" y="0"/>
                          <a:chExt cx="720312" cy="558827"/>
                        </a:xfrm>
                      </wpg:grpSpPr>
                      <wps:wsp>
                        <wps:cNvPr id="39" name="Rectangle 75"/>
                        <wps:cNvSpPr/>
                        <wps:spPr bwMode="auto">
                          <a:xfrm>
                            <a:off x="313" y="281013"/>
                            <a:ext cx="719999" cy="277814"/>
                          </a:xfrm>
                          <a:prstGeom prst="rect">
                            <a:avLst/>
                          </a:prstGeom>
                          <a:solidFill>
                            <a:srgbClr val="205582"/>
                          </a:solidFill>
                          <a:ln>
                            <a:solidFill>
                              <a:srgbClr val="ADBFC3"/>
                            </a:solidFill>
                          </a:ln>
                          <a:effectLst/>
                        </wps:spPr>
                        <wps:txbx>
                          <w:txbxContent>
                            <w:p w14:paraId="4C065F6D"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Inv. Bicentenario Ltda.</w:t>
                              </w:r>
                            </w:p>
                          </w:txbxContent>
                        </wps:txbx>
                        <wps:bodyPr vert="horz" wrap="square" lIns="0" tIns="0" rIns="0" bIns="0" numCol="1" rtlCol="0" anchor="ctr" anchorCtr="0" compatLnSpc="1">
                          <a:prstTxWarp prst="textNoShape">
                            <a:avLst/>
                          </a:prstTxWarp>
                        </wps:bodyPr>
                      </wps:wsp>
                      <wps:wsp>
                        <wps:cNvPr id="40" name="Rectangle 76"/>
                        <wps:cNvSpPr/>
                        <wps:spPr bwMode="auto">
                          <a:xfrm>
                            <a:off x="0" y="0"/>
                            <a:ext cx="719065" cy="277000"/>
                          </a:xfrm>
                          <a:prstGeom prst="rect">
                            <a:avLst/>
                          </a:prstGeom>
                          <a:solidFill>
                            <a:schemeClr val="bg1"/>
                          </a:solidFill>
                          <a:ln>
                            <a:solidFill>
                              <a:srgbClr val="ADBFC3"/>
                            </a:solidFill>
                          </a:ln>
                          <a:effectLst/>
                        </wps:spPr>
                        <wps:txbx>
                          <w:txbxContent>
                            <w:p w14:paraId="2B87B164"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Sebastián </w:t>
                              </w:r>
                              <w:proofErr w:type="spellStart"/>
                              <w:r w:rsidRPr="009577E3">
                                <w:rPr>
                                  <w:color w:val="10253F"/>
                                  <w:sz w:val="16"/>
                                  <w:szCs w:val="16"/>
                                  <w:lang w:val="es-ES"/>
                                </w:rPr>
                                <w:t>Khamis</w:t>
                              </w:r>
                              <w:proofErr w:type="spellEnd"/>
                              <w:r w:rsidRPr="009577E3">
                                <w:rPr>
                                  <w:color w:val="10253F"/>
                                  <w:sz w:val="16"/>
                                  <w:szCs w:val="16"/>
                                  <w:lang w:val="es-ES"/>
                                </w:rPr>
                                <w:t xml:space="preserve"> J.</w:t>
                              </w:r>
                            </w:p>
                            <w:p w14:paraId="0FAD062C"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Javier </w:t>
                              </w:r>
                              <w:proofErr w:type="spellStart"/>
                              <w:r w:rsidRPr="009577E3">
                                <w:rPr>
                                  <w:color w:val="10253F"/>
                                  <w:sz w:val="16"/>
                                  <w:szCs w:val="16"/>
                                  <w:lang w:val="es-ES"/>
                                </w:rPr>
                                <w:t>Khamis</w:t>
                              </w:r>
                              <w:proofErr w:type="spellEnd"/>
                              <w:r w:rsidRPr="009577E3">
                                <w:rPr>
                                  <w:color w:val="10253F"/>
                                  <w:sz w:val="16"/>
                                  <w:szCs w:val="16"/>
                                  <w:lang w:val="es-ES"/>
                                </w:rPr>
                                <w:t xml:space="preserve"> J.</w:t>
                              </w:r>
                            </w:p>
                          </w:txbxContent>
                        </wps:txbx>
                        <wps:bodyPr vert="horz" wrap="square" lIns="0" tIns="0" rIns="0" bIns="0" numCol="1" rtlCol="0" anchor="ctr" anchorCtr="0" compatLnSpc="1">
                          <a:prstTxWarp prst="textNoShape">
                            <a:avLst/>
                          </a:prstTxWarp>
                        </wps:bodyPr>
                      </wps:wsp>
                    </wpg:wgp>
                  </a:graphicData>
                </a:graphic>
                <wp14:sizeRelH relativeFrom="margin">
                  <wp14:pctWidth>0</wp14:pctWidth>
                </wp14:sizeRelH>
              </wp:anchor>
            </w:drawing>
          </mc:Choice>
          <mc:Fallback>
            <w:pict>
              <v:group w14:anchorId="525E7DF2" id="Grupo 8" o:spid="_x0000_s1033" style="position:absolute;margin-left:36.65pt;margin-top:1.1pt;width:90.75pt;height:44pt;z-index:251660291;mso-width-relative:margin" coordsize="720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q4qAIAAMsHAAAOAAAAZHJzL2Uyb0RvYy54bWzclVtv2yAUx98n7Tsg3ldf0jSpFafa0rWa&#10;1HXV2mnPGOOLhIEBid1++h3wJW0i7aHVNGmJ5EDMOZzzO/8Dq4uu4WjHtKmlSHF0EmLEBJV5LcoU&#10;/3i4+rDEyFgicsKlYCl+ZAZfrN+/W7UqYbGsJM+ZRuBEmKRVKa6sVUkQGFqxhpgTqZiAl4XUDbEw&#10;1WWQa9KC94YHcRieBa3UudKSMmPg38v+JV57/0XBqP1WFIZZxFMMsVn/1P6ZuWewXpGk1ERVNR3C&#10;IK+IoiG1gE0nV5fEErTV9ZGrpqZaGlnYEyqbQBZFTZnPAbKJwoNsrrXcKp9LmbSlmjAB2gNOr3ZL&#10;b3fXWt2rOw0kWlUCCz9zuXSFbtwvRIk6j+xxQsY6iyj8GUXzGL4YUXg3ny+X4cCUVgD+yIxWnwfD&#10;RRzOonhvFy9cLYJx1+BFLK0CdZg9APM2APcVUcxzNQkAuNOozlM8O8dIkAZE+h1kQ0TJGVrMXVRu&#10;e1g3UTKJAWAoa7/KHJaTrZW++AfAZtEMI8ASL6MQhl5qI7dFdA6fPv14sVhGpy/SJ4nSxl4z2SA3&#10;SLGGkPweZHdjbE9qXOJqZCSv86uacz/RZbbhGu0IqD4OoSzx4P3FMi7+bPnx8tPVxscNZXlmCbPe&#10;lPkGG+JxkByWHpftss5TPRsBZjJ/BGhwVkA6ldRPGLXQdyk2v7ZEM4z4FwF1dU06DvQ4yMaB2DYb&#10;CUlFGGnL/RAMiKDgMMXU6nGysX2TQ5cpYm/EvaLOyiXssD10P4lWA1sLRbmVoyhIcoC4XwvadBn2&#10;WQwTkGSf7V/X5ilkeaTNCe0rtAn+jpsZRBmeDb0Mogz7Xp568o2idEc6m2SZldE/06Q/avbV/P80&#10;6U9PuDH8gTrcbu5Kej73Gt7fwevfAAAA//8DAFBLAwQUAAYACAAAACEAb77JPN8AAAAHAQAADwAA&#10;AGRycy9kb3ducmV2LnhtbEyPT0vDQBTE74LfYXmCN7v5Y7XGbEop6qkUbIXi7TX7moRmd0N2m6Tf&#10;3udJj8MMM7/Jl5NpxUC9b5xVEM8iEGRLpxtbKfjavz8sQPiAVmPrLCm4kodlcXuTY6bdaD9p2IVK&#10;cIn1GSqoQ+gyKX1Zk0E/cx1Z9k6uNxhY9pXUPY5cblqZRNGTNNhYXqixo3VN5Xl3MQo+RhxXafw2&#10;bM6n9fV7P98eNjEpdX83rV5BBJrCXxh+8RkdCmY6uovVXrQKntOUkwqSBATbyfyRnxwVvEQJyCKX&#10;//mLHwAAAP//AwBQSwECLQAUAAYACAAAACEAtoM4kv4AAADhAQAAEwAAAAAAAAAAAAAAAAAAAAAA&#10;W0NvbnRlbnRfVHlwZXNdLnhtbFBLAQItABQABgAIAAAAIQA4/SH/1gAAAJQBAAALAAAAAAAAAAAA&#10;AAAAAC8BAABfcmVscy8ucmVsc1BLAQItABQABgAIAAAAIQDLa8q4qAIAAMsHAAAOAAAAAAAAAAAA&#10;AAAAAC4CAABkcnMvZTJvRG9jLnhtbFBLAQItABQABgAIAAAAIQBvvsk83wAAAAcBAAAPAAAAAAAA&#10;AAAAAAAAAAIFAABkcnMvZG93bnJldi54bWxQSwUGAAAAAAQABADzAAAADgYAAAAA&#10;">
                <v:rect id="Rectangle 75" o:spid="_x0000_s1034" style="position:absolute;left:3;top:2810;width:7200;height: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SdwwAAANsAAAAPAAAAZHJzL2Rvd25yZXYueG1sRI/RisIw&#10;FETfhf2HcBf2RdbUCuJWoyzCguCDWP2AS3Ntq8lNt4m1/r0RBB+HmTnDLFa9NaKj1teOFYxHCQji&#10;wumaSwXHw9/3DIQPyBqNY1JwJw+r5cdggZl2N95Tl4dSRAj7DBVUITSZlL6oyKIfuYY4eifXWgxR&#10;tqXULd4i3BqZJslUWqw5LlTY0Lqi4pJfrYLz2g3T/WQW0qT7zw/bncFNaZT6+ux/5yAC9eEdfrU3&#10;WsHkB55f4g+QywcAAAD//wMAUEsBAi0AFAAGAAgAAAAhANvh9svuAAAAhQEAABMAAAAAAAAAAAAA&#10;AAAAAAAAAFtDb250ZW50X1R5cGVzXS54bWxQSwECLQAUAAYACAAAACEAWvQsW78AAAAVAQAACwAA&#10;AAAAAAAAAAAAAAAfAQAAX3JlbHMvLnJlbHNQSwECLQAUAAYACAAAACEAtXGUncMAAADbAAAADwAA&#10;AAAAAAAAAAAAAAAHAgAAZHJzL2Rvd25yZXYueG1sUEsFBgAAAAADAAMAtwAAAPcCAAAAAA==&#10;" fillcolor="#205582" strokecolor="#adbfc3">
                  <v:textbox inset="0,0,0,0">
                    <w:txbxContent>
                      <w:p w14:paraId="4C065F6D"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Inv. Bicentenario Ltda.</w:t>
                        </w:r>
                      </w:p>
                    </w:txbxContent>
                  </v:textbox>
                </v:rect>
                <v:rect id="Rectangle 76" o:spid="_x0000_s1035" style="position:absolute;width:7190;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uLwQAAANsAAAAPAAAAZHJzL2Rvd25yZXYueG1sRE9ba8Iw&#10;FH4X9h/CGexN00oR6YwyNsYEQfAGezw0Z21Yc1KaaC+/3jwIPn5899Wmt7W4UeuNYwXpLAFBXDht&#10;uFRwPn1PlyB8QNZYOyYFA3nYrF8mK8y16/hAt2MoRQxhn6OCKoQml9IXFVn0M9cQR+7PtRZDhG0p&#10;dYtdDLe1nCfJQlo0HBsqbOizouL/eLUKftIxG4Pdd3TZfzV2uxx+d8Yo9fbaf7yDCNSHp/jh3moF&#10;WVwfv8QfINd3AAAA//8DAFBLAQItABQABgAIAAAAIQDb4fbL7gAAAIUBAAATAAAAAAAAAAAAAAAA&#10;AAAAAABbQ29udGVudF9UeXBlc10ueG1sUEsBAi0AFAAGAAgAAAAhAFr0LFu/AAAAFQEAAAsAAAAA&#10;AAAAAAAAAAAAHwEAAF9yZWxzLy5yZWxzUEsBAi0AFAAGAAgAAAAhAEY9C4vBAAAA2wAAAA8AAAAA&#10;AAAAAAAAAAAABwIAAGRycy9kb3ducmV2LnhtbFBLBQYAAAAAAwADALcAAAD1AgAAAAA=&#10;" fillcolor="white [3212]" strokecolor="#adbfc3">
                  <v:textbox inset="0,0,0,0">
                    <w:txbxContent>
                      <w:p w14:paraId="2B87B164"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Sebastián </w:t>
                        </w:r>
                        <w:proofErr w:type="spellStart"/>
                        <w:r w:rsidRPr="009577E3">
                          <w:rPr>
                            <w:color w:val="10253F"/>
                            <w:sz w:val="16"/>
                            <w:szCs w:val="16"/>
                            <w:lang w:val="es-ES"/>
                          </w:rPr>
                          <w:t>Khamis</w:t>
                        </w:r>
                        <w:proofErr w:type="spellEnd"/>
                        <w:r w:rsidRPr="009577E3">
                          <w:rPr>
                            <w:color w:val="10253F"/>
                            <w:sz w:val="16"/>
                            <w:szCs w:val="16"/>
                            <w:lang w:val="es-ES"/>
                          </w:rPr>
                          <w:t xml:space="preserve"> J.</w:t>
                        </w:r>
                      </w:p>
                      <w:p w14:paraId="0FAD062C"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Javier </w:t>
                        </w:r>
                        <w:proofErr w:type="spellStart"/>
                        <w:r w:rsidRPr="009577E3">
                          <w:rPr>
                            <w:color w:val="10253F"/>
                            <w:sz w:val="16"/>
                            <w:szCs w:val="16"/>
                            <w:lang w:val="es-ES"/>
                          </w:rPr>
                          <w:t>Khamis</w:t>
                        </w:r>
                        <w:proofErr w:type="spellEnd"/>
                        <w:r w:rsidRPr="009577E3">
                          <w:rPr>
                            <w:color w:val="10253F"/>
                            <w:sz w:val="16"/>
                            <w:szCs w:val="16"/>
                            <w:lang w:val="es-ES"/>
                          </w:rPr>
                          <w:t xml:space="preserve"> J.</w:t>
                        </w:r>
                      </w:p>
                    </w:txbxContent>
                  </v:textbox>
                </v:rect>
              </v:group>
            </w:pict>
          </mc:Fallback>
        </mc:AlternateContent>
      </w:r>
      <w:r>
        <w:rPr>
          <w:noProof/>
        </w:rPr>
        <mc:AlternateContent>
          <mc:Choice Requires="wpg">
            <w:drawing>
              <wp:anchor distT="0" distB="0" distL="114300" distR="114300" simplePos="0" relativeHeight="251663363" behindDoc="0" locked="0" layoutInCell="1" allowOverlap="1" wp14:anchorId="7EA06C8A" wp14:editId="5380551F">
                <wp:simplePos x="0" y="0"/>
                <wp:positionH relativeFrom="column">
                  <wp:posOffset>4504055</wp:posOffset>
                </wp:positionH>
                <wp:positionV relativeFrom="paragraph">
                  <wp:posOffset>13970</wp:posOffset>
                </wp:positionV>
                <wp:extent cx="1066800" cy="553720"/>
                <wp:effectExtent l="0" t="0" r="19050" b="17780"/>
                <wp:wrapNone/>
                <wp:docPr id="50" name="Group 49">
                  <a:extLst xmlns:a="http://schemas.openxmlformats.org/drawingml/2006/main">
                    <a:ext uri="{FF2B5EF4-FFF2-40B4-BE49-F238E27FC236}">
                      <a16:creationId xmlns:a16="http://schemas.microsoft.com/office/drawing/2014/main" id="{781B2C65-92D2-4E3F-8E45-6A3A7BD0DC8F}"/>
                    </a:ext>
                  </a:extLst>
                </wp:docPr>
                <wp:cNvGraphicFramePr/>
                <a:graphic xmlns:a="http://schemas.openxmlformats.org/drawingml/2006/main">
                  <a:graphicData uri="http://schemas.microsoft.com/office/word/2010/wordprocessingGroup">
                    <wpg:wgp>
                      <wpg:cNvGrpSpPr/>
                      <wpg:grpSpPr>
                        <a:xfrm>
                          <a:off x="0" y="0"/>
                          <a:ext cx="1066800" cy="553720"/>
                          <a:chOff x="3812494" y="0"/>
                          <a:chExt cx="720000" cy="554067"/>
                        </a:xfrm>
                      </wpg:grpSpPr>
                      <wps:wsp>
                        <wps:cNvPr id="11" name="Rectangle 69">
                          <a:extLst>
                            <a:ext uri="{FF2B5EF4-FFF2-40B4-BE49-F238E27FC236}">
                              <a16:creationId xmlns:a16="http://schemas.microsoft.com/office/drawing/2014/main" id="{0608D568-9D40-401F-AA7D-037E2F2E0A8B}"/>
                            </a:ext>
                          </a:extLst>
                        </wps:cNvPr>
                        <wps:cNvSpPr/>
                        <wps:spPr bwMode="auto">
                          <a:xfrm>
                            <a:off x="3812494" y="276253"/>
                            <a:ext cx="720000" cy="277814"/>
                          </a:xfrm>
                          <a:prstGeom prst="rect">
                            <a:avLst/>
                          </a:prstGeom>
                          <a:solidFill>
                            <a:srgbClr val="205582"/>
                          </a:solidFill>
                          <a:ln>
                            <a:solidFill>
                              <a:srgbClr val="ADBFC3"/>
                            </a:solidFill>
                          </a:ln>
                          <a:effectLst/>
                        </wps:spPr>
                        <wps:txbx>
                          <w:txbxContent>
                            <w:p w14:paraId="7A9A6E35"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Inversiones KJ Ltda.</w:t>
                              </w:r>
                            </w:p>
                          </w:txbxContent>
                        </wps:txbx>
                        <wps:bodyPr vert="horz" wrap="square" lIns="0" tIns="0" rIns="0" bIns="0" numCol="1" rtlCol="0" anchor="ctr" anchorCtr="0" compatLnSpc="1">
                          <a:prstTxWarp prst="textNoShape">
                            <a:avLst/>
                          </a:prstTxWarp>
                        </wps:bodyPr>
                      </wps:wsp>
                      <wps:wsp>
                        <wps:cNvPr id="12" name="Rectangle 70">
                          <a:extLst>
                            <a:ext uri="{FF2B5EF4-FFF2-40B4-BE49-F238E27FC236}">
                              <a16:creationId xmlns:a16="http://schemas.microsoft.com/office/drawing/2014/main" id="{F9631A33-E88C-4E7F-84DB-58C784302038}"/>
                            </a:ext>
                          </a:extLst>
                        </wps:cNvPr>
                        <wps:cNvSpPr/>
                        <wps:spPr bwMode="auto">
                          <a:xfrm>
                            <a:off x="3812962" y="0"/>
                            <a:ext cx="719065" cy="274734"/>
                          </a:xfrm>
                          <a:prstGeom prst="rect">
                            <a:avLst/>
                          </a:prstGeom>
                          <a:solidFill>
                            <a:schemeClr val="bg1"/>
                          </a:solidFill>
                          <a:ln>
                            <a:solidFill>
                              <a:srgbClr val="ADBFC3"/>
                            </a:solidFill>
                          </a:ln>
                          <a:effectLst/>
                        </wps:spPr>
                        <wps:txbx>
                          <w:txbxContent>
                            <w:p w14:paraId="1182ECEE"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Josefina </w:t>
                              </w:r>
                              <w:proofErr w:type="spellStart"/>
                              <w:r w:rsidRPr="009577E3">
                                <w:rPr>
                                  <w:color w:val="10253F"/>
                                  <w:sz w:val="16"/>
                                  <w:szCs w:val="16"/>
                                  <w:lang w:val="es-ES"/>
                                </w:rPr>
                                <w:t>Khamis</w:t>
                              </w:r>
                              <w:proofErr w:type="spellEnd"/>
                              <w:r w:rsidRPr="009577E3">
                                <w:rPr>
                                  <w:color w:val="10253F"/>
                                  <w:sz w:val="16"/>
                                  <w:szCs w:val="16"/>
                                  <w:lang w:val="es-ES"/>
                                </w:rPr>
                                <w:t xml:space="preserve"> J.</w:t>
                              </w:r>
                            </w:p>
                            <w:p w14:paraId="66C81BBC"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Sebastián </w:t>
                              </w:r>
                              <w:proofErr w:type="spellStart"/>
                              <w:r w:rsidRPr="009577E3">
                                <w:rPr>
                                  <w:color w:val="10253F"/>
                                  <w:sz w:val="16"/>
                                  <w:szCs w:val="16"/>
                                  <w:lang w:val="es-ES"/>
                                </w:rPr>
                                <w:t>Khamis</w:t>
                              </w:r>
                              <w:proofErr w:type="spellEnd"/>
                              <w:r w:rsidRPr="009577E3">
                                <w:rPr>
                                  <w:color w:val="10253F"/>
                                  <w:sz w:val="16"/>
                                  <w:szCs w:val="16"/>
                                  <w:lang w:val="es-ES"/>
                                </w:rPr>
                                <w:t xml:space="preserve"> J.</w:t>
                              </w:r>
                            </w:p>
                          </w:txbxContent>
                        </wps:txbx>
                        <wps:bodyPr vert="horz" wrap="square" lIns="0" tIns="0" rIns="0" bIns="0" numCol="1" rtlCol="0" anchor="ctr" anchorCtr="0" compatLnSpc="1">
                          <a:prstTxWarp prst="textNoShape">
                            <a:avLst/>
                          </a:prstTxWarp>
                        </wps:bodyPr>
                      </wps:wsp>
                    </wpg:wgp>
                  </a:graphicData>
                </a:graphic>
                <wp14:sizeRelH relativeFrom="margin">
                  <wp14:pctWidth>0</wp14:pctWidth>
                </wp14:sizeRelH>
              </wp:anchor>
            </w:drawing>
          </mc:Choice>
          <mc:Fallback>
            <w:pict>
              <v:group w14:anchorId="7EA06C8A" id="Group 49" o:spid="_x0000_s1036" style="position:absolute;margin-left:354.65pt;margin-top:1.1pt;width:84pt;height:43.6pt;z-index:251663363;mso-width-relative:margin" coordorigin="38124" coordsize="720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lqQIAANsHAAAOAAAAZHJzL2Uyb0RvYy54bWzclVtv0zAUx9+R+A6W31kubZM2WjpBxyak&#10;MSY2xLPjOBcpsY3tNh2fnmPn0q6TeNhASPQh9Ul8js/5+X/s84t926AdU7oWPMXBmY8R41TkNS9T&#10;/O3h6t0SI20Iz0kjOEvxI9P4Yv32zXknExaKSjQ5UwiCcJ10MsWVMTLxPE0r1hJ9JiTj8LEQqiUG&#10;TFV6uSIdRG8bL/T9yOuEyqUSlGkNby/7j3jt4hcFo+ZLUWhmUJNiyM24p3LPzD699TlJSkVkVdMh&#10;DfKCLFpSc1h0CnVJDEFbVT8L1dZUCS0Kc0ZF64miqClzNUA1gX9SzbUSW+lqKZOulBMmQHvC6cVh&#10;6e3uWsl7eaeARCdLYOEsW8u+UK39hyzR3iF7nJCxvUEUXgZ+FC19IEvh22Ixi8OBKa0AvHWbLYNw&#10;vppjdHCm1cfBHabDb/Se+1Fsd8Qb1/aeZNRJ0Ig+YNCvw3BfEckcXZ0AhjuF6hwKCjDipAWpfgXx&#10;EF42DEUrm5VdHuZNrHSiARvKus8ih+lka4STwAm24/rDOAoXs150I8FjBGEcL4P5EwQkkUqbayZa&#10;ZAcpVpCWW4fsbrTpaY1T7G5p0dT5Vd00zlBltmkU2hHQf+gvFstwiP5kWsN/7/n+8sPVxuUNW3Pk&#10;CVbvylyrDflYUBZNj8zss70juxwhZiJ/BHBwakA5lVA/MeqgA1Osf2yJYhg1nzjsrW3XcaDGQTYO&#10;+LbdCCgKtkuZxg3BgXAKAVNMjRqNjenbHfpNEnPD7yW1XrZgi+1h/50oObA1sCm3YhQGSU4Q93NB&#10;n7bCvorBAFn21f59fYbP9Rm7nnuFPlcRRD305yTNYOVHi747w3gez/6oNO0RzyZxZmXwz5Q5tff/&#10;qkx3jsIN4o7W4bazV9Sx7ZR8uJPXvwAAAP//AwBQSwMEFAAGAAgAAAAhAENYbTbfAAAACAEAAA8A&#10;AABkcnMvZG93bnJldi54bWxMj0FLw0AQhe+C/2EZwZvdJFXTxmxKKeqpFGwF8bbNTpPQ7GzIbpP0&#10;3zue9DaP93jzvXw12VYM2PvGkYJ4FoFAKp1pqFLweXh7WIDwQZPRrSNUcEUPq+L2JteZcSN94LAP&#10;leAS8plWUIfQZVL6skar/cx1SOydXG91YNlX0vR65HLbyiSKnqXVDfGHWne4qbE87y9Wwfuox/U8&#10;fh2259Pm+n142n1tY1Tq/m5av4AIOIW/MPziMzoUzHR0FzJetArSaDnnqIIkAcH+Ik1ZH/lYPoIs&#10;cvl/QPEDAAD//wMAUEsBAi0AFAAGAAgAAAAhALaDOJL+AAAA4QEAABMAAAAAAAAAAAAAAAAAAAAA&#10;AFtDb250ZW50X1R5cGVzXS54bWxQSwECLQAUAAYACAAAACEAOP0h/9YAAACUAQAACwAAAAAAAAAA&#10;AAAAAAAvAQAAX3JlbHMvLnJlbHNQSwECLQAUAAYACAAAACEActf2ZakCAADbBwAADgAAAAAAAAAA&#10;AAAAAAAuAgAAZHJzL2Uyb0RvYy54bWxQSwECLQAUAAYACAAAACEAQ1htNt8AAAAIAQAADwAAAAAA&#10;AAAAAAAAAAADBQAAZHJzL2Rvd25yZXYueG1sUEsFBgAAAAAEAAQA8wAAAA8GAAAAAA==&#10;">
                <v:rect id="Rectangle 69" o:spid="_x0000_s1037" style="position:absolute;left:38124;top:2762;width:7200;height: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T7wAAAANsAAAAPAAAAZHJzL2Rvd25yZXYueG1sRE/NisIw&#10;EL4v+A5hBC+LplZYSjWKCILgYbH6AEMzttVkUptYu2+/WRD2Nh/f76w2gzWip843jhXMZwkI4tLp&#10;hisFl/N+moHwAVmjcUwKfsjDZj36WGGu3YtP1BehEjGEfY4K6hDaXEpf1mTRz1xLHLmr6yyGCLtK&#10;6g5fMdwamSbJl7TYcGyosaVdTeW9eFoFt537TE+LLKRJ/yjOx2+Dh8ooNRkP2yWIQEP4F7/dBx3n&#10;z+Hvl3iAXP8CAAD//wMAUEsBAi0AFAAGAAgAAAAhANvh9svuAAAAhQEAABMAAAAAAAAAAAAAAAAA&#10;AAAAAFtDb250ZW50X1R5cGVzXS54bWxQSwECLQAUAAYACAAAACEAWvQsW78AAAAVAQAACwAAAAAA&#10;AAAAAAAAAAAfAQAAX3JlbHMvLnJlbHNQSwECLQAUAAYACAAAACEAALLE+8AAAADbAAAADwAAAAAA&#10;AAAAAAAAAAAHAgAAZHJzL2Rvd25yZXYueG1sUEsFBgAAAAADAAMAtwAAAPQCAAAAAA==&#10;" fillcolor="#205582" strokecolor="#adbfc3">
                  <v:textbox inset="0,0,0,0">
                    <w:txbxContent>
                      <w:p w14:paraId="7A9A6E35"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Inversiones KJ Ltda.</w:t>
                        </w:r>
                      </w:p>
                    </w:txbxContent>
                  </v:textbox>
                </v:rect>
                <v:rect id="Rectangle 70" o:spid="_x0000_s1038" style="position:absolute;left:38129;width:7191;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96wgAAANsAAAAPAAAAZHJzL2Rvd25yZXYueG1sRE/fa8Iw&#10;EH4f+D+EE/a2psqQUo0yFJkwKKzbYI9Hc7ZhzaU00db+9WYw2Nt9fD9vsxttK67Ue+NYwSJJQRBX&#10;ThuuFXx+HJ8yED4ga2wdk4IbedhtZw8bzLUb+J2uZahFDGGfo4ImhC6X0lcNWfSJ64gjd3a9xRBh&#10;X0vd4xDDbSuXabqSFg3HhgY72jdU/ZQXq+B1MT1PwRYDfRWHzp6y2/ebMUo9zseXNYhAY/gX/7lP&#10;Os5fwu8v8QC5vQMAAP//AwBQSwECLQAUAAYACAAAACEA2+H2y+4AAACFAQAAEwAAAAAAAAAAAAAA&#10;AAAAAAAAW0NvbnRlbnRfVHlwZXNdLnhtbFBLAQItABQABgAIAAAAIQBa9CxbvwAAABUBAAALAAAA&#10;AAAAAAAAAAAAAB8BAABfcmVscy8ucmVsc1BLAQItABQABgAIAAAAIQDKEB96wgAAANsAAAAPAAAA&#10;AAAAAAAAAAAAAAcCAABkcnMvZG93bnJldi54bWxQSwUGAAAAAAMAAwC3AAAA9gIAAAAA&#10;" fillcolor="white [3212]" strokecolor="#adbfc3">
                  <v:textbox inset="0,0,0,0">
                    <w:txbxContent>
                      <w:p w14:paraId="1182ECEE"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Josefina </w:t>
                        </w:r>
                        <w:proofErr w:type="spellStart"/>
                        <w:r w:rsidRPr="009577E3">
                          <w:rPr>
                            <w:color w:val="10253F"/>
                            <w:sz w:val="16"/>
                            <w:szCs w:val="16"/>
                            <w:lang w:val="es-ES"/>
                          </w:rPr>
                          <w:t>Khamis</w:t>
                        </w:r>
                        <w:proofErr w:type="spellEnd"/>
                        <w:r w:rsidRPr="009577E3">
                          <w:rPr>
                            <w:color w:val="10253F"/>
                            <w:sz w:val="16"/>
                            <w:szCs w:val="16"/>
                            <w:lang w:val="es-ES"/>
                          </w:rPr>
                          <w:t xml:space="preserve"> J.</w:t>
                        </w:r>
                      </w:p>
                      <w:p w14:paraId="66C81BBC" w14:textId="77777777" w:rsidR="009577E3" w:rsidRPr="009577E3" w:rsidRDefault="009577E3" w:rsidP="009577E3">
                        <w:pPr>
                          <w:jc w:val="center"/>
                          <w:rPr>
                            <w:color w:val="10253F"/>
                            <w:sz w:val="16"/>
                            <w:szCs w:val="16"/>
                            <w:lang w:val="es-ES"/>
                          </w:rPr>
                        </w:pPr>
                        <w:r w:rsidRPr="009577E3">
                          <w:rPr>
                            <w:color w:val="10253F"/>
                            <w:sz w:val="16"/>
                            <w:szCs w:val="16"/>
                            <w:lang w:val="es-ES"/>
                          </w:rPr>
                          <w:t xml:space="preserve">Sebastián </w:t>
                        </w:r>
                        <w:proofErr w:type="spellStart"/>
                        <w:r w:rsidRPr="009577E3">
                          <w:rPr>
                            <w:color w:val="10253F"/>
                            <w:sz w:val="16"/>
                            <w:szCs w:val="16"/>
                            <w:lang w:val="es-ES"/>
                          </w:rPr>
                          <w:t>Khamis</w:t>
                        </w:r>
                        <w:proofErr w:type="spellEnd"/>
                        <w:r w:rsidRPr="009577E3">
                          <w:rPr>
                            <w:color w:val="10253F"/>
                            <w:sz w:val="16"/>
                            <w:szCs w:val="16"/>
                            <w:lang w:val="es-ES"/>
                          </w:rPr>
                          <w:t xml:space="preserve"> J.</w:t>
                        </w:r>
                      </w:p>
                    </w:txbxContent>
                  </v:textbox>
                </v:rect>
              </v:group>
            </w:pict>
          </mc:Fallback>
        </mc:AlternateContent>
      </w:r>
      <w:r>
        <w:rPr>
          <w:noProof/>
        </w:rPr>
        <mc:AlternateContent>
          <mc:Choice Requires="wpg">
            <w:drawing>
              <wp:anchor distT="0" distB="0" distL="114300" distR="114300" simplePos="0" relativeHeight="251661315" behindDoc="0" locked="0" layoutInCell="1" allowOverlap="1" wp14:anchorId="79D3943F" wp14:editId="54E22426">
                <wp:simplePos x="0" y="0"/>
                <wp:positionH relativeFrom="column">
                  <wp:posOffset>3237230</wp:posOffset>
                </wp:positionH>
                <wp:positionV relativeFrom="paragraph">
                  <wp:posOffset>13970</wp:posOffset>
                </wp:positionV>
                <wp:extent cx="1076325" cy="558800"/>
                <wp:effectExtent l="0" t="0" r="28575" b="12700"/>
                <wp:wrapNone/>
                <wp:docPr id="41" name="Grupo 10"/>
                <wp:cNvGraphicFramePr/>
                <a:graphic xmlns:a="http://schemas.openxmlformats.org/drawingml/2006/main">
                  <a:graphicData uri="http://schemas.microsoft.com/office/word/2010/wordprocessingGroup">
                    <wpg:wgp>
                      <wpg:cNvGrpSpPr/>
                      <wpg:grpSpPr>
                        <a:xfrm>
                          <a:off x="0" y="0"/>
                          <a:ext cx="1076325" cy="558800"/>
                          <a:chOff x="2543623" y="2266"/>
                          <a:chExt cx="716757" cy="544772"/>
                        </a:xfrm>
                      </wpg:grpSpPr>
                      <wps:wsp>
                        <wps:cNvPr id="42" name="Rectangle 73"/>
                        <wps:cNvSpPr/>
                        <wps:spPr bwMode="auto">
                          <a:xfrm>
                            <a:off x="2543623" y="278796"/>
                            <a:ext cx="716757" cy="268242"/>
                          </a:xfrm>
                          <a:prstGeom prst="rect">
                            <a:avLst/>
                          </a:prstGeom>
                          <a:solidFill>
                            <a:srgbClr val="205582"/>
                          </a:solidFill>
                          <a:ln>
                            <a:solidFill>
                              <a:srgbClr val="ADBFC3"/>
                            </a:solidFill>
                          </a:ln>
                          <a:effectLst/>
                        </wps:spPr>
                        <wps:txbx>
                          <w:txbxContent>
                            <w:p w14:paraId="7BD28C57" w14:textId="77777777" w:rsidR="009577E3" w:rsidRPr="009577E3" w:rsidRDefault="009577E3" w:rsidP="009577E3">
                              <w:pPr>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 xml:space="preserve">Inv. </w:t>
                              </w:r>
                              <w:proofErr w:type="spellStart"/>
                              <w:r w:rsidRPr="009577E3">
                                <w:rPr>
                                  <w:rFonts w:eastAsia="Open Sans" w:cs="Open Sans"/>
                                  <w:color w:val="FFFFFF" w:themeColor="background1"/>
                                  <w:sz w:val="16"/>
                                  <w:szCs w:val="16"/>
                                </w:rPr>
                                <w:t>Vertice</w:t>
                              </w:r>
                              <w:proofErr w:type="spellEnd"/>
                              <w:r w:rsidRPr="009577E3">
                                <w:rPr>
                                  <w:rFonts w:eastAsia="Open Sans" w:cs="Open Sans"/>
                                  <w:color w:val="FFFFFF" w:themeColor="background1"/>
                                  <w:sz w:val="16"/>
                                  <w:szCs w:val="16"/>
                                </w:rPr>
                                <w:t xml:space="preserve"> </w:t>
                              </w:r>
                              <w:r w:rsidRPr="009577E3">
                                <w:rPr>
                                  <w:rFonts w:eastAsia="Open Sans" w:cs="Open Sans"/>
                                  <w:color w:val="FFFFFF" w:themeColor="background1"/>
                                  <w:sz w:val="16"/>
                                  <w:szCs w:val="16"/>
                                </w:rPr>
                                <w:br/>
                                <w:t>Ltda.</w:t>
                              </w:r>
                            </w:p>
                          </w:txbxContent>
                        </wps:txbx>
                        <wps:bodyPr vert="horz" wrap="square" lIns="0" tIns="0" rIns="0" bIns="0" numCol="1" rtlCol="0" anchor="ctr" anchorCtr="0" compatLnSpc="1">
                          <a:prstTxWarp prst="textNoShape">
                            <a:avLst/>
                          </a:prstTxWarp>
                        </wps:bodyPr>
                      </wps:wsp>
                      <wps:wsp>
                        <wps:cNvPr id="45" name="Rectangle 74"/>
                        <wps:cNvSpPr/>
                        <wps:spPr bwMode="auto">
                          <a:xfrm>
                            <a:off x="2543623" y="2266"/>
                            <a:ext cx="716499" cy="274734"/>
                          </a:xfrm>
                          <a:prstGeom prst="rect">
                            <a:avLst/>
                          </a:prstGeom>
                          <a:solidFill>
                            <a:schemeClr val="bg1"/>
                          </a:solidFill>
                          <a:ln>
                            <a:solidFill>
                              <a:srgbClr val="ADBFC3"/>
                            </a:solidFill>
                          </a:ln>
                          <a:effectLst/>
                        </wps:spPr>
                        <wps:txbx>
                          <w:txbxContent>
                            <w:p w14:paraId="575ED4F3" w14:textId="77777777" w:rsidR="009577E3" w:rsidRPr="009577E3" w:rsidRDefault="009577E3" w:rsidP="009577E3">
                              <w:pPr>
                                <w:jc w:val="center"/>
                                <w:textAlignment w:val="baseline"/>
                                <w:rPr>
                                  <w:color w:val="10253F"/>
                                  <w:sz w:val="16"/>
                                  <w:szCs w:val="16"/>
                                </w:rPr>
                              </w:pPr>
                              <w:r w:rsidRPr="009577E3">
                                <w:rPr>
                                  <w:color w:val="10253F"/>
                                  <w:sz w:val="16"/>
                                  <w:szCs w:val="16"/>
                                </w:rPr>
                                <w:t xml:space="preserve">Cristóbal </w:t>
                              </w:r>
                              <w:proofErr w:type="spellStart"/>
                              <w:r w:rsidRPr="009577E3">
                                <w:rPr>
                                  <w:color w:val="10253F"/>
                                  <w:sz w:val="16"/>
                                  <w:szCs w:val="16"/>
                                </w:rPr>
                                <w:t>Khamis</w:t>
                              </w:r>
                              <w:proofErr w:type="spellEnd"/>
                              <w:r w:rsidRPr="009577E3">
                                <w:rPr>
                                  <w:color w:val="10253F"/>
                                  <w:sz w:val="16"/>
                                  <w:szCs w:val="16"/>
                                </w:rPr>
                                <w:t xml:space="preserve"> J.</w:t>
                              </w:r>
                            </w:p>
                            <w:p w14:paraId="6C1C451E" w14:textId="77777777" w:rsidR="009577E3" w:rsidRPr="009577E3" w:rsidRDefault="009577E3" w:rsidP="009577E3">
                              <w:pPr>
                                <w:jc w:val="center"/>
                                <w:textAlignment w:val="baseline"/>
                                <w:rPr>
                                  <w:color w:val="10253F"/>
                                  <w:sz w:val="16"/>
                                  <w:szCs w:val="16"/>
                                </w:rPr>
                              </w:pPr>
                              <w:r w:rsidRPr="009577E3">
                                <w:rPr>
                                  <w:color w:val="10253F"/>
                                  <w:sz w:val="16"/>
                                  <w:szCs w:val="16"/>
                                </w:rPr>
                                <w:t xml:space="preserve">Sebastián </w:t>
                              </w:r>
                              <w:proofErr w:type="spellStart"/>
                              <w:r w:rsidRPr="009577E3">
                                <w:rPr>
                                  <w:color w:val="10253F"/>
                                  <w:sz w:val="16"/>
                                  <w:szCs w:val="16"/>
                                </w:rPr>
                                <w:t>Khamis</w:t>
                              </w:r>
                              <w:proofErr w:type="spellEnd"/>
                              <w:r w:rsidRPr="009577E3">
                                <w:rPr>
                                  <w:color w:val="10253F"/>
                                  <w:sz w:val="16"/>
                                  <w:szCs w:val="16"/>
                                </w:rPr>
                                <w:t xml:space="preserve"> J.</w:t>
                              </w:r>
                            </w:p>
                          </w:txbxContent>
                        </wps:txbx>
                        <wps:bodyPr vert="horz" wrap="square" lIns="0" tIns="0" rIns="0" bIns="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D3943F" id="Grupo 10" o:spid="_x0000_s1039" style="position:absolute;margin-left:254.9pt;margin-top:1.1pt;width:84.75pt;height:44pt;z-index:251661315;mso-width-relative:margin;mso-height-relative:margin" coordorigin="25436,22" coordsize="7167,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o2uQIAAOMHAAAOAAAAZHJzL2Uyb0RvYy54bWzclclu2zAQhu8F+g4E741k2ZYcIXLQOk1Q&#10;IE2DJkXPFEUtgESyJG05ffoOqcWyA/SQpJdeJC7D4czHf8iLy31Tox1TuhI8wbMzHyPGqcgqXiT4&#10;x+P1hxVG2hCekVpwluAnpvHl+v27i1bGLBClqDOmEDjhOm5lgktjZOx5mpasIfpMSMZhMheqIQa6&#10;qvAyRVrw3tRe4Puh1wqVSSUo0xpGr7pJvHb+85xR8y3PNTOoTjDEZtxXuW9qv976gsSFIrKsaB8G&#10;eUEUDak4bDq6uiKGoK2qnrlqKqqEFrk5o6LxRJ5XlLkcIJuZf5LNjRJb6XIp4raQIyZAe8LpxW7p&#10;3e5GyQd5r4BEKwtg4Xo2l32uGvuHKNHeIXsakbG9QRQGZ34UzoMlRhTmlsvVyu+Z0hLA22XBcjEP&#10;gzlGYBAEYdghp+Xn3kM0C6Nl1DtYLKIosBbesL13FFQrQSb6QEK/jsRDSSRzgHUMJO4VqrIELwKM&#10;OGlArd9BP4QXNUPR3EZltwe7EZeONZBDaftVZGBOtkY4FZyQO0IQraLzHsIAcYogCFcBBDBFQGKp&#10;tLlhokG2kWAFYbl9yO5Wm850MLEHpkVdZddVXbuOKtJNrdCOQAkEPpzR4P3IrOZ/X/nx6tP1xkGA&#10;o5mshF63lLlq6+OxoCyaDpnZp3tHdubEYSdTkT0BObg5IJ9SqN8YtVCFCda/tkQxjOovHA7XluzQ&#10;UEMjHRp822wEZDXDSJnaNWEB4RQcJpgaNXQ2pit5qDlJzC1/kNSushlbbo/7n0TJHq6BU7kTgzJI&#10;fMK4swWBHrLoO6DLLt1/L1Cot2cCXbyVQMcanchzcX7eVWgQLaK522qs0FfK0970bBRoWsx67U80&#10;NkjsaEhPdf026nRbH871/1Onu0zhJXH3a//q2adq2ndqPrzN6z8AAAD//wMAUEsDBBQABgAIAAAA&#10;IQCdHlsW4AAAAAgBAAAPAAAAZHJzL2Rvd25yZXYueG1sTI9BS8NAFITvgv9heYI3u5uUVhPzUkpR&#10;T0WwFUpv2+Q1Cc2+Ddltkv5715MehxlmvslWk2nFQL1rLCNEMwWCuLBlwxXC9/796QWE85pL3Vom&#10;hBs5WOX3d5lOSzvyFw07X4lQwi7VCLX3XSqlK2oy2s1sRxy8s+2N9kH2lSx7PYZy08pYqaU0uuGw&#10;UOuONjUVl93VIHyMelzPo7dhezlvbsf94vOwjQjx8WFav4LwNPm/MPziB3TIA9PJXrl0okVYqCSg&#10;e4Q4BhH85XMyB3FCSFQMMs/k/wP5DwAAAP//AwBQSwECLQAUAAYACAAAACEAtoM4kv4AAADhAQAA&#10;EwAAAAAAAAAAAAAAAAAAAAAAW0NvbnRlbnRfVHlwZXNdLnhtbFBLAQItABQABgAIAAAAIQA4/SH/&#10;1gAAAJQBAAALAAAAAAAAAAAAAAAAAC8BAABfcmVscy8ucmVsc1BLAQItABQABgAIAAAAIQADPSo2&#10;uQIAAOMHAAAOAAAAAAAAAAAAAAAAAC4CAABkcnMvZTJvRG9jLnhtbFBLAQItABQABgAIAAAAIQCd&#10;HlsW4AAAAAgBAAAPAAAAAAAAAAAAAAAAABMFAABkcnMvZG93bnJldi54bWxQSwUGAAAAAAQABADz&#10;AAAAIAYAAAAA&#10;">
                <v:rect id="Rectangle 73" o:spid="_x0000_s1040" style="position:absolute;left:25436;top:2787;width:7167;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3WRxAAAANsAAAAPAAAAZHJzL2Rvd25yZXYueG1sRI/BasMw&#10;EETvhfyD2EAuJZHrlhKcKKEYCoYeip1+wGJtbCfSyrFU2/n7qlDocZiZN8z+OFsjRhp851jB0yYB&#10;QVw73XGj4Ov0vt6C8AFZo3FMCu7k4XhYPOwx027iksYqNCJC2GeooA2hz6T0dUsW/cb1xNE7u8Fi&#10;iHJopB5winBrZJokr9Jix3GhxZ7ylupr9W0VXHL3mJbP25Am4606fXwaLBqj1Go5v+1ABJrDf/iv&#10;XWgFLyn8fok/QB5+AAAA//8DAFBLAQItABQABgAIAAAAIQDb4fbL7gAAAIUBAAATAAAAAAAAAAAA&#10;AAAAAAAAAABbQ29udGVudF9UeXBlc10ueG1sUEsBAi0AFAAGAAgAAAAhAFr0LFu/AAAAFQEAAAsA&#10;AAAAAAAAAAAAAAAAHwEAAF9yZWxzLy5yZWxzUEsBAi0AFAAGAAgAAAAhAOPTdZHEAAAA2wAAAA8A&#10;AAAAAAAAAAAAAAAABwIAAGRycy9kb3ducmV2LnhtbFBLBQYAAAAAAwADALcAAAD4AgAAAAA=&#10;" fillcolor="#205582" strokecolor="#adbfc3">
                  <v:textbox inset="0,0,0,0">
                    <w:txbxContent>
                      <w:p w14:paraId="7BD28C57" w14:textId="77777777" w:rsidR="009577E3" w:rsidRPr="009577E3" w:rsidRDefault="009577E3" w:rsidP="009577E3">
                        <w:pPr>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 xml:space="preserve">Inv. </w:t>
                        </w:r>
                        <w:proofErr w:type="spellStart"/>
                        <w:r w:rsidRPr="009577E3">
                          <w:rPr>
                            <w:rFonts w:eastAsia="Open Sans" w:cs="Open Sans"/>
                            <w:color w:val="FFFFFF" w:themeColor="background1"/>
                            <w:sz w:val="16"/>
                            <w:szCs w:val="16"/>
                          </w:rPr>
                          <w:t>Vertice</w:t>
                        </w:r>
                        <w:proofErr w:type="spellEnd"/>
                        <w:r w:rsidRPr="009577E3">
                          <w:rPr>
                            <w:rFonts w:eastAsia="Open Sans" w:cs="Open Sans"/>
                            <w:color w:val="FFFFFF" w:themeColor="background1"/>
                            <w:sz w:val="16"/>
                            <w:szCs w:val="16"/>
                          </w:rPr>
                          <w:t xml:space="preserve"> </w:t>
                        </w:r>
                        <w:r w:rsidRPr="009577E3">
                          <w:rPr>
                            <w:rFonts w:eastAsia="Open Sans" w:cs="Open Sans"/>
                            <w:color w:val="FFFFFF" w:themeColor="background1"/>
                            <w:sz w:val="16"/>
                            <w:szCs w:val="16"/>
                          </w:rPr>
                          <w:br/>
                          <w:t>Ltda.</w:t>
                        </w:r>
                      </w:p>
                    </w:txbxContent>
                  </v:textbox>
                </v:rect>
                <v:rect id="Rectangle 74" o:spid="_x0000_s1041" style="position:absolute;left:25436;top:22;width:7165;height:2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gTxQAAANsAAAAPAAAAZHJzL2Rvd25yZXYueG1sRI9Ba8JA&#10;FITvhf6H5RW8NRtLLCG6SlFKBUGoreDxkX0mS7NvQ3abRH+9Wyh4HGbmG2axGm0jeuq8caxgmqQg&#10;iEunDVcKvr/en3MQPiBrbByTggt5WC0fHxZYaDfwJ/WHUIkIYV+ggjqEtpDSlzVZ9IlriaN3dp3F&#10;EGVXSd3hEOG2kS9p+iotGo4LNba0rqn8OfxaBR/Ta3YNdj/Qcb9p7Ta/nHbGKDV5Gt/mIAKN4R7+&#10;b2+1gmwGf1/iD5DLGwAAAP//AwBQSwECLQAUAAYACAAAACEA2+H2y+4AAACFAQAAEwAAAAAAAAAA&#10;AAAAAAAAAAAAW0NvbnRlbnRfVHlwZXNdLnhtbFBLAQItABQABgAIAAAAIQBa9CxbvwAAABUBAAAL&#10;AAAAAAAAAAAAAAAAAB8BAABfcmVscy8ucmVsc1BLAQItABQABgAIAAAAIQBWSqgTxQAAANsAAAAP&#10;AAAAAAAAAAAAAAAAAAcCAABkcnMvZG93bnJldi54bWxQSwUGAAAAAAMAAwC3AAAA+QIAAAAA&#10;" fillcolor="white [3212]" strokecolor="#adbfc3">
                  <v:textbox inset="0,0,0,0">
                    <w:txbxContent>
                      <w:p w14:paraId="575ED4F3" w14:textId="77777777" w:rsidR="009577E3" w:rsidRPr="009577E3" w:rsidRDefault="009577E3" w:rsidP="009577E3">
                        <w:pPr>
                          <w:jc w:val="center"/>
                          <w:textAlignment w:val="baseline"/>
                          <w:rPr>
                            <w:color w:val="10253F"/>
                            <w:sz w:val="16"/>
                            <w:szCs w:val="16"/>
                          </w:rPr>
                        </w:pPr>
                        <w:r w:rsidRPr="009577E3">
                          <w:rPr>
                            <w:color w:val="10253F"/>
                            <w:sz w:val="16"/>
                            <w:szCs w:val="16"/>
                          </w:rPr>
                          <w:t xml:space="preserve">Cristóbal </w:t>
                        </w:r>
                        <w:proofErr w:type="spellStart"/>
                        <w:r w:rsidRPr="009577E3">
                          <w:rPr>
                            <w:color w:val="10253F"/>
                            <w:sz w:val="16"/>
                            <w:szCs w:val="16"/>
                          </w:rPr>
                          <w:t>Khamis</w:t>
                        </w:r>
                        <w:proofErr w:type="spellEnd"/>
                        <w:r w:rsidRPr="009577E3">
                          <w:rPr>
                            <w:color w:val="10253F"/>
                            <w:sz w:val="16"/>
                            <w:szCs w:val="16"/>
                          </w:rPr>
                          <w:t xml:space="preserve"> J.</w:t>
                        </w:r>
                      </w:p>
                      <w:p w14:paraId="6C1C451E" w14:textId="77777777" w:rsidR="009577E3" w:rsidRPr="009577E3" w:rsidRDefault="009577E3" w:rsidP="009577E3">
                        <w:pPr>
                          <w:jc w:val="center"/>
                          <w:textAlignment w:val="baseline"/>
                          <w:rPr>
                            <w:color w:val="10253F"/>
                            <w:sz w:val="16"/>
                            <w:szCs w:val="16"/>
                          </w:rPr>
                        </w:pPr>
                        <w:r w:rsidRPr="009577E3">
                          <w:rPr>
                            <w:color w:val="10253F"/>
                            <w:sz w:val="16"/>
                            <w:szCs w:val="16"/>
                          </w:rPr>
                          <w:t xml:space="preserve">Sebastián </w:t>
                        </w:r>
                        <w:proofErr w:type="spellStart"/>
                        <w:r w:rsidRPr="009577E3">
                          <w:rPr>
                            <w:color w:val="10253F"/>
                            <w:sz w:val="16"/>
                            <w:szCs w:val="16"/>
                          </w:rPr>
                          <w:t>Khamis</w:t>
                        </w:r>
                        <w:proofErr w:type="spellEnd"/>
                        <w:r w:rsidRPr="009577E3">
                          <w:rPr>
                            <w:color w:val="10253F"/>
                            <w:sz w:val="16"/>
                            <w:szCs w:val="16"/>
                          </w:rPr>
                          <w:t xml:space="preserve"> J.</w:t>
                        </w:r>
                      </w:p>
                    </w:txbxContent>
                  </v:textbox>
                </v:rect>
              </v:group>
            </w:pict>
          </mc:Fallback>
        </mc:AlternateContent>
      </w:r>
    </w:p>
    <w:p w14:paraId="5A869CCF" w14:textId="6A925DBB" w:rsidR="008B50F3" w:rsidRDefault="008B50F3" w:rsidP="004D1C31"/>
    <w:p w14:paraId="5750A0A8" w14:textId="24AF1E58" w:rsidR="008B50F3" w:rsidRDefault="008B50F3" w:rsidP="004D1C31"/>
    <w:p w14:paraId="1E01AC7C" w14:textId="3100C7DB" w:rsidR="004D1C31" w:rsidRPr="004D1C31" w:rsidRDefault="001C418F" w:rsidP="004D1C31">
      <w:r>
        <w:rPr>
          <w:noProof/>
        </w:rPr>
        <mc:AlternateContent>
          <mc:Choice Requires="wps">
            <w:drawing>
              <wp:anchor distT="0" distB="0" distL="114300" distR="114300" simplePos="0" relativeHeight="251674627" behindDoc="0" locked="0" layoutInCell="1" allowOverlap="1" wp14:anchorId="118EA18B" wp14:editId="48FD62E6">
                <wp:simplePos x="0" y="0"/>
                <wp:positionH relativeFrom="column">
                  <wp:posOffset>3761105</wp:posOffset>
                </wp:positionH>
                <wp:positionV relativeFrom="paragraph">
                  <wp:posOffset>111760</wp:posOffset>
                </wp:positionV>
                <wp:extent cx="2540" cy="266700"/>
                <wp:effectExtent l="0" t="0" r="35560" b="19050"/>
                <wp:wrapNone/>
                <wp:docPr id="72"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66700"/>
                        </a:xfrm>
                        <a:prstGeom prst="line">
                          <a:avLst/>
                        </a:prstGeom>
                        <a:ln>
                          <a:solidFill>
                            <a:srgbClr val="1025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AD010" id="Straight Connector 60" o:spid="_x0000_s1026" style="position:absolute;flip:x;z-index:251674627;visibility:visible;mso-wrap-style:square;mso-wrap-distance-left:9pt;mso-wrap-distance-top:0;mso-wrap-distance-right:9pt;mso-wrap-distance-bottom:0;mso-position-horizontal:absolute;mso-position-horizontal-relative:text;mso-position-vertical:absolute;mso-position-vertical-relative:text" from="296.15pt,8.8pt" to="296.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uS0QEAAP0DAAAOAAAAZHJzL2Uyb0RvYy54bWysU8GO0zAQvSPxD5bvNGlhC4qa7mFXhcMK&#10;Vix8gOuMGwvbY9mmSf+esdNmV4BWWsTFytjz3rz37GyuR2vYEULU6Fq+XNScgZPYaXdo+fdvuzcf&#10;OItJuE4YdNDyE0R+vX39ajP4BlbYo+kgMCJxsRl8y/uUfFNVUfZgRVygB0eHCoMVicpwqLogBmK3&#10;plrV9boaMHQ+oIQYafd2OuTbwq8UyPRFqQiJmZaTtlTWUNZ9XqvtRjSHIHyv5VmG+AcVVmhHQ2eq&#10;W5EE+xn0H1RWy4ARVVpItBUqpSUUD+RmWf/m5qEXHooXCif6Oab4/2jl5+ONuw9Zuhzdg79D+SNS&#10;KNXgYzMf5iL6qW1UwTJltP9E9108kws2lkhPc6QwJiZpc3X1jmKXdLBar9/XJfBKNJkkz/Qhpo+A&#10;luWPlhvtsl/RiONdTFnGY0veNi6vEY3udtqYUoTD/sYEdhR0w8t6dfV2ly+VgE/aqMrQYmryURyl&#10;k4GJ9isopjvSOzkqzw9mWiEluLQ88xpH3RmmSMIMrIvuZ4Hn/gyF8jRfAp4RZTK6NIOtdhj+Nj2N&#10;F8lq6r8kMPnOEeyxO92Hy33TGyvJnf+H/Iif1gX++NdufwEAAP//AwBQSwMEFAAGAAgAAAAhADHq&#10;XsjeAAAACQEAAA8AAABkcnMvZG93bnJldi54bWxMj0FPwzAMhe9I/IfISFwQSymiG6XphJAQ0NvG&#10;NO2YNqapaJyqSbfy7/FOcLP9np6/V6xn14sjjqHzpOBukYBAarzpqFWw+3y9XYEIUZPRvSdU8IMB&#10;1uXlRaFz40+0weM2toJDKORagY1xyKUMjUWnw8IPSKx9+dHpyOvYSjPqE4e7XqZJkkmnO+IPVg/4&#10;YrH53k5OASW13ZguvXmT1X7/Ue0Orprelbq+mp+fQESc458ZzviMDiUz1X4iE0Sv4OExvWcrC8sM&#10;BBv4sARRn4cMZFnI/w3KXwAAAP//AwBQSwECLQAUAAYACAAAACEAtoM4kv4AAADhAQAAEwAAAAAA&#10;AAAAAAAAAAAAAAAAW0NvbnRlbnRfVHlwZXNdLnhtbFBLAQItABQABgAIAAAAIQA4/SH/1gAAAJQB&#10;AAALAAAAAAAAAAAAAAAAAC8BAABfcmVscy8ucmVsc1BLAQItABQABgAIAAAAIQAISUuS0QEAAP0D&#10;AAAOAAAAAAAAAAAAAAAAAC4CAABkcnMvZTJvRG9jLnhtbFBLAQItABQABgAIAAAAIQAx6l7I3gAA&#10;AAkBAAAPAAAAAAAAAAAAAAAAACsEAABkcnMvZG93bnJldi54bWxQSwUGAAAAAAQABADzAAAANgUA&#10;AAAA&#10;" strokecolor="#10253f" strokeweight=".5pt">
                <v:stroke joinstyle="miter"/>
                <o:lock v:ext="edit" shapetype="f"/>
              </v:line>
            </w:pict>
          </mc:Fallback>
        </mc:AlternateContent>
      </w:r>
      <w:r>
        <w:rPr>
          <w:noProof/>
        </w:rPr>
        <mc:AlternateContent>
          <mc:Choice Requires="wps">
            <w:drawing>
              <wp:anchor distT="0" distB="0" distL="114300" distR="114300" simplePos="0" relativeHeight="251668483" behindDoc="0" locked="0" layoutInCell="1" allowOverlap="1" wp14:anchorId="1F2286D9" wp14:editId="05FFDDE6">
                <wp:simplePos x="0" y="0"/>
                <wp:positionH relativeFrom="column">
                  <wp:posOffset>2336800</wp:posOffset>
                </wp:positionH>
                <wp:positionV relativeFrom="paragraph">
                  <wp:posOffset>100965</wp:posOffset>
                </wp:positionV>
                <wp:extent cx="2540" cy="266700"/>
                <wp:effectExtent l="0" t="0" r="35560" b="19050"/>
                <wp:wrapNone/>
                <wp:docPr id="61" name="Straight Connector 60">
                  <a:extLst xmlns:a="http://schemas.openxmlformats.org/drawingml/2006/main">
                    <a:ext uri="{FF2B5EF4-FFF2-40B4-BE49-F238E27FC236}">
                      <a16:creationId xmlns:a16="http://schemas.microsoft.com/office/drawing/2014/main" id="{DA238EBA-D736-4025-ACF4-7B532654EE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266700"/>
                        </a:xfrm>
                        <a:prstGeom prst="line">
                          <a:avLst/>
                        </a:prstGeom>
                        <a:ln>
                          <a:solidFill>
                            <a:srgbClr val="1025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B5B5B" id="Straight Connector 60" o:spid="_x0000_s1026" style="position:absolute;flip:x;z-index:251668483;visibility:visible;mso-wrap-style:square;mso-wrap-distance-left:9pt;mso-wrap-distance-top:0;mso-wrap-distance-right:9pt;mso-wrap-distance-bottom:0;mso-position-horizontal:absolute;mso-position-horizontal-relative:text;mso-position-vertical:absolute;mso-position-vertical-relative:text" from="184pt,7.95pt" to="184.2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uS0QEAAP0DAAAOAAAAZHJzL2Uyb0RvYy54bWysU8GO0zAQvSPxD5bvNGlhC4qa7mFXhcMK&#10;Vix8gOuMGwvbY9mmSf+esdNmV4BWWsTFytjz3rz37GyuR2vYEULU6Fq+XNScgZPYaXdo+fdvuzcf&#10;OItJuE4YdNDyE0R+vX39ajP4BlbYo+kgMCJxsRl8y/uUfFNVUfZgRVygB0eHCoMVicpwqLogBmK3&#10;plrV9boaMHQ+oIQYafd2OuTbwq8UyPRFqQiJmZaTtlTWUNZ9XqvtRjSHIHyv5VmG+AcVVmhHQ2eq&#10;W5EE+xn0H1RWy4ARVVpItBUqpSUUD+RmWf/m5qEXHooXCif6Oab4/2jl5+ONuw9Zuhzdg79D+SNS&#10;KNXgYzMf5iL6qW1UwTJltP9E9108kws2lkhPc6QwJiZpc3X1jmKXdLBar9/XJfBKNJkkz/Qhpo+A&#10;luWPlhvtsl/RiONdTFnGY0veNi6vEY3udtqYUoTD/sYEdhR0w8t6dfV2ly+VgE/aqMrQYmryURyl&#10;k4GJ9isopjvSOzkqzw9mWiEluLQ88xpH3RmmSMIMrIvuZ4Hn/gyF8jRfAp4RZTK6NIOtdhj+Nj2N&#10;F8lq6r8kMPnOEeyxO92Hy33TGyvJnf+H/Iif1gX++NdufwEAAP//AwBQSwMEFAAGAAgAAAAhAPtS&#10;F7LfAAAACQEAAA8AAABkcnMvZG93bnJldi54bWxMj8FOwzAQRO9I/Qdrkbgg6lBoaUOcCiEhILeW&#10;quLoxEscNV5HsdOGv+/2BMedGc2+ydaja8UR+9B4UnA/TUAgVd40VCvYfb3dLUGEqMno1hMq+MUA&#10;63xylenU+BNt8LiNteASCqlWYGPsUilDZdHpMPUdEns/vnc68tnX0vT6xOWulbMkWUinG+IPVnf4&#10;arE6bAengJLSbkwzu32XxX7/Wey+XTF8KHVzPb48g4g4xr8wXPAZHXJmKv1AJohWwcNiyVsiG/MV&#10;CA6w8AiiVDB/WoHMM/l/QX4GAAD//wMAUEsBAi0AFAAGAAgAAAAhALaDOJL+AAAA4QEAABMAAAAA&#10;AAAAAAAAAAAAAAAAAFtDb250ZW50X1R5cGVzXS54bWxQSwECLQAUAAYACAAAACEAOP0h/9YAAACU&#10;AQAACwAAAAAAAAAAAAAAAAAvAQAAX3JlbHMvLnJlbHNQSwECLQAUAAYACAAAACEACElLktEBAAD9&#10;AwAADgAAAAAAAAAAAAAAAAAuAgAAZHJzL2Uyb0RvYy54bWxQSwECLQAUAAYACAAAACEA+1IXst8A&#10;AAAJAQAADwAAAAAAAAAAAAAAAAArBAAAZHJzL2Rvd25yZXYueG1sUEsFBgAAAAAEAAQA8wAAADcF&#10;AAAAAA==&#10;" strokecolor="#10253f" strokeweight=".5pt">
                <v:stroke joinstyle="miter"/>
                <o:lock v:ext="edit" shapetype="f"/>
              </v:line>
            </w:pict>
          </mc:Fallback>
        </mc:AlternateContent>
      </w:r>
    </w:p>
    <w:p w14:paraId="35B7C909" w14:textId="4A436D9D" w:rsidR="009577E3" w:rsidRDefault="009577E3" w:rsidP="00FE5A6A">
      <w:pPr>
        <w:pStyle w:val="Ttulo"/>
        <w:spacing w:after="120" w:line="240" w:lineRule="auto"/>
        <w:contextualSpacing w:val="0"/>
      </w:pPr>
    </w:p>
    <w:p w14:paraId="5E973AAE" w14:textId="23939609" w:rsidR="009577E3" w:rsidRDefault="001C418F" w:rsidP="00FE5A6A">
      <w:pPr>
        <w:pStyle w:val="Ttulo"/>
        <w:spacing w:after="120" w:line="240" w:lineRule="auto"/>
        <w:contextualSpacing w:val="0"/>
      </w:pPr>
      <w:r>
        <w:rPr>
          <w:noProof/>
        </w:rPr>
        <mc:AlternateContent>
          <mc:Choice Requires="wps">
            <w:drawing>
              <wp:anchor distT="0" distB="0" distL="114300" distR="114300" simplePos="0" relativeHeight="251671555" behindDoc="0" locked="0" layoutInCell="1" allowOverlap="1" wp14:anchorId="6FE16FF7" wp14:editId="1716C787">
                <wp:simplePos x="0" y="0"/>
                <wp:positionH relativeFrom="column">
                  <wp:posOffset>3115945</wp:posOffset>
                </wp:positionH>
                <wp:positionV relativeFrom="paragraph">
                  <wp:posOffset>269240</wp:posOffset>
                </wp:positionV>
                <wp:extent cx="438150" cy="796290"/>
                <wp:effectExtent l="0" t="7620" r="68580" b="49530"/>
                <wp:wrapNone/>
                <wp:docPr id="66" name="Connector: Elbow 65">
                  <a:extLst xmlns:a="http://schemas.openxmlformats.org/drawingml/2006/main">
                    <a:ext uri="{FF2B5EF4-FFF2-40B4-BE49-F238E27FC236}">
                      <a16:creationId xmlns:a16="http://schemas.microsoft.com/office/drawing/2014/main" id="{AB1D9AA7-CAC2-400A-A871-258BEE87AB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38150" cy="796290"/>
                        </a:xfrm>
                        <a:prstGeom prst="bentConnector3">
                          <a:avLst>
                            <a:gd name="adj1" fmla="val 50000"/>
                          </a:avLst>
                        </a:prstGeom>
                        <a:ln>
                          <a:solidFill>
                            <a:srgbClr val="1025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51E458" id="Connector: Elbow 65" o:spid="_x0000_s1026" type="#_x0000_t34" style="position:absolute;margin-left:245.35pt;margin-top:21.2pt;width:34.5pt;height:62.7pt;rotation:90;flip:x;z-index:2516715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gyCwIAAGEEAAAOAAAAZHJzL2Uyb0RvYy54bWysVNuO0zAQfUfiHyy/0yQtLbtR033oUnhY&#10;wWp3+QDXl9ZgeyzbtOnfM3bawAJCApEHy5c5Z84cj7O86a0hBxmiBtfRZlJTIh0Hod2uo5+eNq+u&#10;KImJOcEMONnRk4z0ZvXyxfLoWzmFPRghA0ESF9uj7+g+Jd9WVeR7aVmcgJcODxUEyxIuw64SgR2R&#10;3ZpqWteL6ghB+ABcxoi7t8MhXRV+pSRPH5WKMhHTUdSWyhjKuM1jtVqydheY32t+lsH+QYVl2mHS&#10;keqWJUa+Bv0LldU8QASVJhxsBUppLksNWE1T/1TN4555WWpBc6IfbYr/j5Z/OKzdfcjSee8e/R3w&#10;LxFNqY4+tuNhXkQ/hPUqWBIAnWwWeAP4UaKM9u9xo1iARZG+OHwaHZZ9Ihw3X8+umjkCOB69uV5M&#10;r8sNVKzNrFmEDzG9k2BJnnR0K11ag3N4jxBmhZ4d7mIqVgvimMWeYuJzgxqswZs7MEPmRVQugrXn&#10;aJxdmDPUuDxGMFpstDFlEXbbtQkECbCQejqfbXJzIPBZWGLavHWCpJPHzClo5nZGniMzbTFu8Kq4&#10;lk5GDikfpCJaoAmDTaXF5ZiScY61NiMTRmeYQnkjsC4G/BF4js9QWdr/b8AjomQGl0aw1Q7C77Kn&#10;/iJZDfEXB4a6swVbEKf7cOkp7OPi6vnN5Yfy47rAv/8ZVt8AAAD//wMAUEsDBBQABgAIAAAAIQDz&#10;fcoW3wAAAAoBAAAPAAAAZHJzL2Rvd25yZXYueG1sTI9BT4QwEIXvJv6HZky8GLfsKiwgZWOMe9Rk&#10;0Yu3WaiA0im2ZcF/73jS4+R9ee+bYreYQZy0870lBetVBEJTbZueWgWvL/vrFIQPSA0OlrSCb+1h&#10;V56fFZg3dqaDPlWhFVxCPkcFXQhjLqWvO23Qr+yoibN36wwGPl0rG4czl5tBbqIokQZ74oUOR/3Q&#10;6fqzmoyCejqsMZ3d13T15NPqY/+WPT/GSl1eLPd3IIJewh8Mv/qsDiU7He1EjReDgttkEzOqYBsl&#10;IBiI020G4sjkTZaALAv5/4XyBwAA//8DAFBLAQItABQABgAIAAAAIQC2gziS/gAAAOEBAAATAAAA&#10;AAAAAAAAAAAAAAAAAABbQ29udGVudF9UeXBlc10ueG1sUEsBAi0AFAAGAAgAAAAhADj9If/WAAAA&#10;lAEAAAsAAAAAAAAAAAAAAAAALwEAAF9yZWxzLy5yZWxzUEsBAi0AFAAGAAgAAAAhAPDhmDILAgAA&#10;YQQAAA4AAAAAAAAAAAAAAAAALgIAAGRycy9lMm9Eb2MueG1sUEsBAi0AFAAGAAgAAAAhAPN9yhbf&#10;AAAACgEAAA8AAAAAAAAAAAAAAAAAZQQAAGRycy9kb3ducmV2LnhtbFBLBQYAAAAABAAEAPMAAABx&#10;BQAAAAA=&#10;" strokecolor="#10253f" strokeweight=".5pt">
                <v:stroke endarrow="block"/>
                <o:lock v:ext="edit" shapetype="f"/>
              </v:shape>
            </w:pict>
          </mc:Fallback>
        </mc:AlternateContent>
      </w:r>
      <w:r>
        <w:rPr>
          <w:noProof/>
        </w:rPr>
        <mc:AlternateContent>
          <mc:Choice Requires="wps">
            <w:drawing>
              <wp:anchor distT="0" distB="0" distL="114300" distR="114300" simplePos="0" relativeHeight="251672579" behindDoc="0" locked="0" layoutInCell="1" allowOverlap="1" wp14:anchorId="7D5707E2" wp14:editId="703E7CF7">
                <wp:simplePos x="0" y="0"/>
                <wp:positionH relativeFrom="column">
                  <wp:posOffset>3910647</wp:posOffset>
                </wp:positionH>
                <wp:positionV relativeFrom="paragraph">
                  <wp:posOffset>270193</wp:posOffset>
                </wp:positionV>
                <wp:extent cx="436245" cy="796290"/>
                <wp:effectExtent l="67628" t="8572" r="31432" b="50483"/>
                <wp:wrapNone/>
                <wp:docPr id="67" name="Connector: Elbow 66">
                  <a:extLst xmlns:a="http://schemas.openxmlformats.org/drawingml/2006/main">
                    <a:ext uri="{FF2B5EF4-FFF2-40B4-BE49-F238E27FC236}">
                      <a16:creationId xmlns:a16="http://schemas.microsoft.com/office/drawing/2014/main" id="{2F49F920-0E66-4F16-ADC8-DBED9B54FB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436245" cy="796290"/>
                        </a:xfrm>
                        <a:prstGeom prst="bentConnector3">
                          <a:avLst>
                            <a:gd name="adj1" fmla="val 50000"/>
                          </a:avLst>
                        </a:prstGeom>
                        <a:ln>
                          <a:solidFill>
                            <a:srgbClr val="1025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9203A" id="Connector: Elbow 66" o:spid="_x0000_s1026" type="#_x0000_t34" style="position:absolute;margin-left:307.9pt;margin-top:21.3pt;width:34.35pt;height:62.7pt;rotation:90;z-index:2516725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sNAwIAAFYEAAAOAAAAZHJzL2Uyb0RvYy54bWysVNuO0zAUfEfiHyy/06RX2KjpPnQpLytY&#10;sfABri+twfaxbNOmf8+xkwZ2QUgg8mDF8Zk5M5OTrG87a8hJhqjBtXQ6qSmRjoPQ7tDSz592r95Q&#10;EhNzghlwsqUXGent5uWL9dk3cgZHMEIGgiQuNmff0mNKvqmqyI/SsjgBLx0eKgiWJdyGQyUCOyO7&#10;NdWsrlfVGYLwAbiMEZ/e9Yd0U/iVkjx9UCrKRExLUVsqayjrPq/VZs2aQ2D+qPkgg/2DCsu0w6Yj&#10;1R1LjHwL+hcqq3mACCpNONgKlNJcFg/oZlo/c/N4ZF4WLxhO9GNM8f/R8venrXsIWTrv3KO/B/41&#10;YijV2cdmPMyb6PuyTgVLAmCSy0Wdr+IbnZCuxHoZY5VdIhwfLuar2WJJCcej1zer2U2JvWJNpsqd&#10;fYjpnQRL8k1L99KlLTiHLw/CvNCz031MJV9BHLM4SEx8mVKirMHXdWKGLIuUrJw1QzXeXZkz1Li8&#10;RjBa7LQxZRMO+60JBAlweOvZcr7LE4HAJ2WJafPWCZIuHjunoJk7GDlUZtqSVh9QiSpdjOxbfpSK&#10;aIEhTIuPMtdybMk4R6/TkQmrM0yhvBHY5/tH4FCfobLM/N+AR0TpDC6NYKsdhN/JTt1Vsurrrwn0&#10;vnMEexCXh3AdJBzekurwoeWv4+d9gf/4HWy+AwAA//8DAFBLAwQUAAYACAAAACEAj4Z6A90AAAAK&#10;AQAADwAAAGRycy9kb3ducmV2LnhtbEyPwU7DMAyG70i8Q2QkbizdUNutNJ3QEHfWTeKaNl5T0ThV&#10;k63l7TEnuNnyp9/fX+4XN4gbTqH3pGC9SkAgtd701Ck4n96ftiBC1GT04AkVfGOAfXV/V+rC+JmO&#10;eKtjJziEQqEV2BjHQsrQWnQ6rPyIxLeLn5yOvE6dNJOeOdwNcpMkmXS6J/5g9YgHi+1XfXUKDp9p&#10;9pYNcj67Jr0c627x8sMq9fiwvL6AiLjEPxh+9VkdKnZq/JVMEIOCdJunjCrIkx0IBvL1hoeGyedd&#10;BrIq5f8K1Q8AAAD//wMAUEsBAi0AFAAGAAgAAAAhALaDOJL+AAAA4QEAABMAAAAAAAAAAAAAAAAA&#10;AAAAAFtDb250ZW50X1R5cGVzXS54bWxQSwECLQAUAAYACAAAACEAOP0h/9YAAACUAQAACwAAAAAA&#10;AAAAAAAAAAAvAQAAX3JlbHMvLnJlbHNQSwECLQAUAAYACAAAACEAbMdrDQMCAABWBAAADgAAAAAA&#10;AAAAAAAAAAAuAgAAZHJzL2Uyb0RvYy54bWxQSwECLQAUAAYACAAAACEAj4Z6A90AAAAKAQAADwAA&#10;AAAAAAAAAAAAAABdBAAAZHJzL2Rvd25yZXYueG1sUEsFBgAAAAAEAAQA8wAAAGcFAAAAAA==&#10;" strokecolor="#10253f" strokeweight=".5pt">
                <v:stroke endarrow="block"/>
                <o:lock v:ext="edit" shapetype="f"/>
              </v:shape>
            </w:pict>
          </mc:Fallback>
        </mc:AlternateContent>
      </w:r>
      <w:r w:rsidR="009577E3">
        <w:rPr>
          <w:noProof/>
        </w:rPr>
        <mc:AlternateContent>
          <mc:Choice Requires="wps">
            <w:drawing>
              <wp:anchor distT="0" distB="0" distL="114300" distR="114300" simplePos="0" relativeHeight="251665411" behindDoc="0" locked="0" layoutInCell="1" allowOverlap="1" wp14:anchorId="5A92B776" wp14:editId="73DA9D6A">
                <wp:simplePos x="0" y="0"/>
                <wp:positionH relativeFrom="column">
                  <wp:posOffset>4170680</wp:posOffset>
                </wp:positionH>
                <wp:positionV relativeFrom="paragraph">
                  <wp:posOffset>164465</wp:posOffset>
                </wp:positionV>
                <wp:extent cx="857250" cy="274955"/>
                <wp:effectExtent l="0" t="0" r="19050" b="10795"/>
                <wp:wrapNone/>
                <wp:docPr id="58" name="Rectangle 57">
                  <a:extLst xmlns:a="http://schemas.openxmlformats.org/drawingml/2006/main">
                    <a:ext uri="{FF2B5EF4-FFF2-40B4-BE49-F238E27FC236}">
                      <a16:creationId xmlns:a16="http://schemas.microsoft.com/office/drawing/2014/main" id="{21D1B480-7736-44C0-BAD7-272BFB6C6B7F}"/>
                    </a:ext>
                  </a:extLst>
                </wp:docPr>
                <wp:cNvGraphicFramePr/>
                <a:graphic xmlns:a="http://schemas.openxmlformats.org/drawingml/2006/main">
                  <a:graphicData uri="http://schemas.microsoft.com/office/word/2010/wordprocessingShape">
                    <wps:wsp>
                      <wps:cNvSpPr/>
                      <wps:spPr bwMode="auto">
                        <a:xfrm>
                          <a:off x="0" y="0"/>
                          <a:ext cx="857250" cy="274955"/>
                        </a:xfrm>
                        <a:prstGeom prst="rect">
                          <a:avLst/>
                        </a:prstGeom>
                        <a:solidFill>
                          <a:srgbClr val="205582"/>
                        </a:solidFill>
                        <a:ln>
                          <a:solidFill>
                            <a:srgbClr val="ADBFC3"/>
                          </a:solidFill>
                        </a:ln>
                        <a:effectLst/>
                      </wps:spPr>
                      <wps:txbx>
                        <w:txbxContent>
                          <w:p w14:paraId="24C107B0"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Inversiones K</w:t>
                            </w:r>
                            <w:r w:rsidRPr="009577E3">
                              <w:rPr>
                                <w:rFonts w:eastAsia="Open Sans" w:cs="Open Sans"/>
                                <w:color w:val="FFFFFF" w:themeColor="background1"/>
                                <w:sz w:val="16"/>
                                <w:szCs w:val="16"/>
                              </w:rPr>
                              <w:br/>
                              <w:t>Ltda.</w:t>
                            </w:r>
                          </w:p>
                        </w:txbxContent>
                      </wps:txbx>
                      <wps:bodyPr vert="horz" wrap="square" lIns="0" tIns="0" rIns="0" bIns="0" numCol="1" rtlCol="0" anchor="ctr" anchorCtr="0" compatLnSpc="1">
                        <a:prstTxWarp prst="textNoShape">
                          <a:avLst/>
                        </a:prstTxWarp>
                      </wps:bodyPr>
                    </wps:wsp>
                  </a:graphicData>
                </a:graphic>
                <wp14:sizeRelH relativeFrom="margin">
                  <wp14:pctWidth>0</wp14:pctWidth>
                </wp14:sizeRelH>
              </wp:anchor>
            </w:drawing>
          </mc:Choice>
          <mc:Fallback>
            <w:pict>
              <v:rect w14:anchorId="5A92B776" id="Rectangle 57" o:spid="_x0000_s1042" style="position:absolute;margin-left:328.4pt;margin-top:12.95pt;width:67.5pt;height:21.65pt;z-index:2516654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kL8gEAAP4DAAAOAAAAZHJzL2Uyb0RvYy54bWysU02P0zAQvSPxHyzfadJA2BI1XUGrIqRl&#10;Qeoizo7jNJH8xdhtUn49Yyfpwq7EAXGxZuKZ53lvXta3g5LkLMB1Rpd0uUgpEZqbutPHkn572L9a&#10;UeI80zWTRouSXoSjt5uXL9a9LURmWiNrAQRBtCt6W9LWe1skieOtUMwtjBUaLxsDinlM4ZjUwHpE&#10;VzLJ0vRt0huoLRgunMOvu/GSbiJ+0wjuvzSNE57IkuJsPp4QzyqcyWbNiiMw23Z8GoP9wxSKdRof&#10;vULtmGfkBN0zKNVxMM40fsGNSkzTdFxEDshmmT5hc2iZFZELiuPsVSb3/2D5/flgvwLK0FtXOAxJ&#10;1X82Na6KnbyJnIYGVOCG05IhSne5SicGTzh+XOU3WY4Cc7zKbt68y/MgbcKKudmC8x+FUSQEJQXc&#10;TARn5zvnx9K5JLzljOzqfSdlTOBYbSWQM8MtZmmer7IJ/Y8yqf/e+X73Yb99/bwTpxxbRTTMNM+s&#10;x6iMH6qBdDVaPD4dLitTX1AuND/yaQ38pKRHI5XU/TgxEJTITxo3FVw3BzAH1Rzok9oaZLWkBLyM&#10;ITYwzRGwpNzDnGz96Fq0jWX+Th8sD12BcdDtYfjOwE7ietzKvZndw4onGo+1uJ1HFlOCJotLm36I&#10;4OLf81j1+NtufgEAAP//AwBQSwMEFAAGAAgAAAAhAAgal+LfAAAACQEAAA8AAABkcnMvZG93bnJl&#10;di54bWxMj8FOwzAQRO9I/IO1SFwQdRrU0IQ4FaqEhNQDasoHuPGSBOx1iN00/H2XExxnZzTzttzM&#10;zooJx9B7UrBcJCCQGm96ahW8H17u1yBC1GS09YQKfjDAprq+KnVh/Jn2ONWxFVxCodAKuhiHQsrQ&#10;dOh0WPgBib0PPzodWY6tNKM+c7mzMk2STDrdEy90esBth81XfXIKPrf+Lt0/rGOaTN/1Yfdm9Wtr&#10;lbq9mZ+fQESc418YfvEZHSpmOvoTmSCsgmyVMXpUkK5yEBx4zJd8OLKTpyCrUv7/oLoAAAD//wMA&#10;UEsBAi0AFAAGAAgAAAAhALaDOJL+AAAA4QEAABMAAAAAAAAAAAAAAAAAAAAAAFtDb250ZW50X1R5&#10;cGVzXS54bWxQSwECLQAUAAYACAAAACEAOP0h/9YAAACUAQAACwAAAAAAAAAAAAAAAAAvAQAAX3Jl&#10;bHMvLnJlbHNQSwECLQAUAAYACAAAACEAKTr5C/IBAAD+AwAADgAAAAAAAAAAAAAAAAAuAgAAZHJz&#10;L2Uyb0RvYy54bWxQSwECLQAUAAYACAAAACEACBqX4t8AAAAJAQAADwAAAAAAAAAAAAAAAABMBAAA&#10;ZHJzL2Rvd25yZXYueG1sUEsFBgAAAAAEAAQA8wAAAFgFAAAAAA==&#10;" fillcolor="#205582" strokecolor="#adbfc3">
                <v:textbox inset="0,0,0,0">
                  <w:txbxContent>
                    <w:p w14:paraId="24C107B0"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Inversiones K</w:t>
                      </w:r>
                      <w:r w:rsidRPr="009577E3">
                        <w:rPr>
                          <w:rFonts w:eastAsia="Open Sans" w:cs="Open Sans"/>
                          <w:color w:val="FFFFFF" w:themeColor="background1"/>
                          <w:sz w:val="16"/>
                          <w:szCs w:val="16"/>
                        </w:rPr>
                        <w:br/>
                        <w:t>Ltda.</w:t>
                      </w:r>
                    </w:p>
                  </w:txbxContent>
                </v:textbox>
              </v:rect>
            </w:pict>
          </mc:Fallback>
        </mc:AlternateContent>
      </w:r>
      <w:r w:rsidR="009577E3">
        <w:rPr>
          <w:noProof/>
        </w:rPr>
        <mc:AlternateContent>
          <mc:Choice Requires="wps">
            <w:drawing>
              <wp:anchor distT="0" distB="0" distL="114300" distR="114300" simplePos="0" relativeHeight="251664387" behindDoc="0" locked="0" layoutInCell="1" allowOverlap="1" wp14:anchorId="6650919C" wp14:editId="7D78808E">
                <wp:simplePos x="0" y="0"/>
                <wp:positionH relativeFrom="column">
                  <wp:posOffset>2484755</wp:posOffset>
                </wp:positionH>
                <wp:positionV relativeFrom="paragraph">
                  <wp:posOffset>154940</wp:posOffset>
                </wp:positionV>
                <wp:extent cx="815340" cy="274955"/>
                <wp:effectExtent l="0" t="0" r="22860" b="10795"/>
                <wp:wrapNone/>
                <wp:docPr id="57" name="Rectangle 56">
                  <a:extLst xmlns:a="http://schemas.openxmlformats.org/drawingml/2006/main">
                    <a:ext uri="{FF2B5EF4-FFF2-40B4-BE49-F238E27FC236}">
                      <a16:creationId xmlns:a16="http://schemas.microsoft.com/office/drawing/2014/main" id="{8472D32D-34F6-49B4-8A01-CA1489FC8E93}"/>
                    </a:ext>
                  </a:extLst>
                </wp:docPr>
                <wp:cNvGraphicFramePr/>
                <a:graphic xmlns:a="http://schemas.openxmlformats.org/drawingml/2006/main">
                  <a:graphicData uri="http://schemas.microsoft.com/office/word/2010/wordprocessingShape">
                    <wps:wsp>
                      <wps:cNvSpPr/>
                      <wps:spPr bwMode="auto">
                        <a:xfrm>
                          <a:off x="0" y="0"/>
                          <a:ext cx="815340" cy="274955"/>
                        </a:xfrm>
                        <a:prstGeom prst="rect">
                          <a:avLst/>
                        </a:prstGeom>
                        <a:solidFill>
                          <a:srgbClr val="205582"/>
                        </a:solidFill>
                        <a:ln>
                          <a:solidFill>
                            <a:srgbClr val="ADBFC3"/>
                          </a:solidFill>
                        </a:ln>
                        <a:effectLst/>
                      </wps:spPr>
                      <wps:txbx>
                        <w:txbxContent>
                          <w:p w14:paraId="25DCDAC2"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Inversiones K4</w:t>
                            </w:r>
                            <w:r w:rsidRPr="009577E3">
                              <w:rPr>
                                <w:rFonts w:eastAsia="Open Sans" w:cs="Open Sans"/>
                                <w:color w:val="FFFFFF" w:themeColor="background1"/>
                                <w:sz w:val="16"/>
                                <w:szCs w:val="16"/>
                              </w:rPr>
                              <w:br/>
                              <w:t>Ltda.</w:t>
                            </w:r>
                          </w:p>
                        </w:txbxContent>
                      </wps:txbx>
                      <wps:bodyPr vert="horz" wrap="square" lIns="0" tIns="0" rIns="0" bIns="0" numCol="1" rtlCol="0" anchor="ctr" anchorCtr="0" compatLnSpc="1">
                        <a:prstTxWarp prst="textNoShape">
                          <a:avLst/>
                        </a:prstTxWarp>
                      </wps:bodyPr>
                    </wps:wsp>
                  </a:graphicData>
                </a:graphic>
                <wp14:sizeRelH relativeFrom="margin">
                  <wp14:pctWidth>0</wp14:pctWidth>
                </wp14:sizeRelH>
              </wp:anchor>
            </w:drawing>
          </mc:Choice>
          <mc:Fallback>
            <w:pict>
              <v:rect w14:anchorId="6650919C" id="Rectangle 56" o:spid="_x0000_s1043" style="position:absolute;margin-left:195.65pt;margin-top:12.2pt;width:64.2pt;height:21.65pt;z-index:2516643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S8wEAAP4DAAAOAAAAZHJzL2Uyb0RvYy54bWysU8Fu2zAMvQ/YPwi6L07SZsuMOMWWIMOA&#10;rh2QDjvTshwbkCWNUmJnXz9KttOtBXoodhFIi3zie3xe3XSNYieJrjY647PJlDOphSlqfcj4j4fd&#10;uyVnzoMuQBktM36Wjt+s375ZtTaVc1MZVUhkBKJd2tqMV97bNEmcqGQDbmKs1HRZGmzAU4qHpEBo&#10;Cb1RyXw6fZ+0BguLRkjn6Ou2v+TriF+WUvj7snTSM5Vxms3HE+OZhzNZryA9INiqFsMY8IopGqg1&#10;PXqB2oIHdsT6GVRTCzTOlH4iTJOYsqyFjByIzWz6hM2+AisjFxLH2YtM7v/BirvT3n5HkqG1LnUU&#10;srz9ZgpaFRy9iZy6EpvAjaZlXZTufJFOdp4J+ricLa6uSWBBV/MP1x8XiyBtAunYbNH5L9I0LAQZ&#10;R9pMBIfTrfN96VgS3nJG1cWuViomeMg3CtkJaIvz6WKxnA/o/5Qp/XLnp+3n3ebqeSdN2bfKaJhh&#10;nlGPXhnf5R2rC7J4BAiXuSnOJBeZn/hUBn9z1pKRMu5+HQElZ+qrpk0F140BjkE+BvrYbAyxmnGG&#10;XsWQGkALAsy48DgmG9+7lmxjwd/qvRWhKzAOuj10PwHtIK6nrdyZ0T2QPtG4r6XtPLIYEjJZXNrw&#10;QwQX/53Hqsffdv0HAAD//wMAUEsDBBQABgAIAAAAIQCGTS0A4QAAAAkBAAAPAAAAZHJzL2Rvd25y&#10;ZXYueG1sTI/LTsMwEEX3SPyDNUhsEHUepWlDnApVQkJiUTXlA6bJkATscYjdNPw9ZgXL0T2690yx&#10;nY0WE42ut6wgXkQgiGvb9NwqeDs+369BOI/coLZMCr7Jwba8viowb+yFDzRVvhWhhF2OCjrvh1xK&#10;V3dk0C3sQByydzsa9OEcW9mMeAnlRsskilbSYM9hocOBdh3Vn9XZKPjY2bvkkK59Ek1f1fF1r/Gl&#10;1Urd3sxPjyA8zf4Phl/9oA5lcDrZMzdOaAXpJk4DqiBZLkEE4CHeZCBOClZZBrIs5P8Pyh8AAAD/&#10;/wMAUEsBAi0AFAAGAAgAAAAhALaDOJL+AAAA4QEAABMAAAAAAAAAAAAAAAAAAAAAAFtDb250ZW50&#10;X1R5cGVzXS54bWxQSwECLQAUAAYACAAAACEAOP0h/9YAAACUAQAACwAAAAAAAAAAAAAAAAAvAQAA&#10;X3JlbHMvLnJlbHNQSwECLQAUAAYACAAAACEA961/kvMBAAD+AwAADgAAAAAAAAAAAAAAAAAuAgAA&#10;ZHJzL2Uyb0RvYy54bWxQSwECLQAUAAYACAAAACEAhk0tAOEAAAAJAQAADwAAAAAAAAAAAAAAAABN&#10;BAAAZHJzL2Rvd25yZXYueG1sUEsFBgAAAAAEAAQA8wAAAFsFAAAAAA==&#10;" fillcolor="#205582" strokecolor="#adbfc3">
                <v:textbox inset="0,0,0,0">
                  <w:txbxContent>
                    <w:p w14:paraId="25DCDAC2" w14:textId="77777777" w:rsidR="009577E3" w:rsidRPr="009577E3" w:rsidRDefault="009577E3" w:rsidP="009577E3">
                      <w:pPr>
                        <w:spacing w:after="120" w:line="288" w:lineRule="auto"/>
                        <w:jc w:val="center"/>
                        <w:textAlignment w:val="baseline"/>
                        <w:rPr>
                          <w:rFonts w:eastAsia="Open Sans" w:cs="Open Sans"/>
                          <w:color w:val="FFFFFF" w:themeColor="background1"/>
                          <w:sz w:val="16"/>
                          <w:szCs w:val="16"/>
                        </w:rPr>
                      </w:pPr>
                      <w:r w:rsidRPr="009577E3">
                        <w:rPr>
                          <w:rFonts w:eastAsia="Open Sans" w:cs="Open Sans"/>
                          <w:color w:val="FFFFFF" w:themeColor="background1"/>
                          <w:sz w:val="16"/>
                          <w:szCs w:val="16"/>
                        </w:rPr>
                        <w:t>Inversiones K4</w:t>
                      </w:r>
                      <w:r w:rsidRPr="009577E3">
                        <w:rPr>
                          <w:rFonts w:eastAsia="Open Sans" w:cs="Open Sans"/>
                          <w:color w:val="FFFFFF" w:themeColor="background1"/>
                          <w:sz w:val="16"/>
                          <w:szCs w:val="16"/>
                        </w:rPr>
                        <w:br/>
                        <w:t>Ltda.</w:t>
                      </w:r>
                    </w:p>
                  </w:txbxContent>
                </v:textbox>
              </v:rect>
            </w:pict>
          </mc:Fallback>
        </mc:AlternateContent>
      </w:r>
    </w:p>
    <w:p w14:paraId="700F05F8" w14:textId="6A56EB73" w:rsidR="009577E3" w:rsidRDefault="009577E3" w:rsidP="00FE5A6A">
      <w:pPr>
        <w:pStyle w:val="Ttulo"/>
        <w:spacing w:after="120" w:line="240" w:lineRule="auto"/>
        <w:contextualSpacing w:val="0"/>
      </w:pPr>
    </w:p>
    <w:p w14:paraId="3AECD116" w14:textId="1AD4AA4B" w:rsidR="009577E3" w:rsidRDefault="009577E3" w:rsidP="00FE5A6A">
      <w:pPr>
        <w:pStyle w:val="Ttulo"/>
        <w:spacing w:after="120" w:line="240" w:lineRule="auto"/>
        <w:contextualSpacing w:val="0"/>
      </w:pPr>
      <w:r>
        <w:rPr>
          <w:noProof/>
        </w:rPr>
        <mc:AlternateContent>
          <mc:Choice Requires="wps">
            <w:drawing>
              <wp:anchor distT="0" distB="0" distL="114300" distR="114300" simplePos="0" relativeHeight="251666435" behindDoc="0" locked="0" layoutInCell="1" allowOverlap="1" wp14:anchorId="791D15FC" wp14:editId="33A66573">
                <wp:simplePos x="0" y="0"/>
                <wp:positionH relativeFrom="column">
                  <wp:posOffset>3265805</wp:posOffset>
                </wp:positionH>
                <wp:positionV relativeFrom="paragraph">
                  <wp:posOffset>282575</wp:posOffset>
                </wp:positionV>
                <wp:extent cx="1095375" cy="342900"/>
                <wp:effectExtent l="0" t="0" r="28575" b="19050"/>
                <wp:wrapNone/>
                <wp:docPr id="59" name="Rectangle 58">
                  <a:extLst xmlns:a="http://schemas.openxmlformats.org/drawingml/2006/main">
                    <a:ext uri="{FF2B5EF4-FFF2-40B4-BE49-F238E27FC236}">
                      <a16:creationId xmlns:a16="http://schemas.microsoft.com/office/drawing/2014/main" id="{73716390-A251-4983-8D94-8D00F5B83F0E}"/>
                    </a:ext>
                  </a:extLst>
                </wp:docPr>
                <wp:cNvGraphicFramePr/>
                <a:graphic xmlns:a="http://schemas.openxmlformats.org/drawingml/2006/main">
                  <a:graphicData uri="http://schemas.microsoft.com/office/word/2010/wordprocessingShape">
                    <wps:wsp>
                      <wps:cNvSpPr/>
                      <wps:spPr bwMode="auto">
                        <a:xfrm>
                          <a:off x="0" y="0"/>
                          <a:ext cx="1095375" cy="342900"/>
                        </a:xfrm>
                        <a:prstGeom prst="rect">
                          <a:avLst/>
                        </a:prstGeom>
                        <a:solidFill>
                          <a:srgbClr val="205582"/>
                        </a:solidFill>
                        <a:ln>
                          <a:solidFill>
                            <a:srgbClr val="ADBFC3"/>
                          </a:solidFill>
                        </a:ln>
                        <a:effectLst/>
                      </wps:spPr>
                      <wps:txbx>
                        <w:txbxContent>
                          <w:p w14:paraId="1C50C228" w14:textId="77777777" w:rsidR="009577E3" w:rsidRPr="009577E3" w:rsidRDefault="009577E3" w:rsidP="009577E3">
                            <w:pPr>
                              <w:spacing w:after="120" w:line="288" w:lineRule="auto"/>
                              <w:jc w:val="center"/>
                              <w:textAlignment w:val="baseline"/>
                              <w:rPr>
                                <w:rFonts w:eastAsia="Open Sans" w:cs="Open Sans"/>
                                <w:b/>
                                <w:bCs/>
                                <w:color w:val="FFFFFF" w:themeColor="background1"/>
                                <w:sz w:val="16"/>
                                <w:szCs w:val="16"/>
                              </w:rPr>
                            </w:pPr>
                            <w:r w:rsidRPr="009577E3">
                              <w:rPr>
                                <w:rFonts w:eastAsia="Open Sans" w:cs="Open Sans"/>
                                <w:b/>
                                <w:bCs/>
                                <w:color w:val="FFFFFF" w:themeColor="background1"/>
                                <w:sz w:val="16"/>
                                <w:szCs w:val="16"/>
                              </w:rPr>
                              <w:t xml:space="preserve">Comercial K </w:t>
                            </w:r>
                            <w:r w:rsidRPr="009577E3">
                              <w:rPr>
                                <w:rFonts w:eastAsia="Open Sans" w:cs="Open Sans"/>
                                <w:b/>
                                <w:bCs/>
                                <w:color w:val="FFFFFF" w:themeColor="background1"/>
                                <w:sz w:val="16"/>
                                <w:szCs w:val="16"/>
                              </w:rPr>
                              <w:br/>
                            </w:r>
                            <w:proofErr w:type="spellStart"/>
                            <w:r w:rsidRPr="009577E3">
                              <w:rPr>
                                <w:rFonts w:eastAsia="Open Sans" w:cs="Open Sans"/>
                                <w:b/>
                                <w:bCs/>
                                <w:color w:val="FFFFFF" w:themeColor="background1"/>
                                <w:sz w:val="16"/>
                                <w:szCs w:val="16"/>
                              </w:rPr>
                              <w:t>SpA</w:t>
                            </w:r>
                            <w:proofErr w:type="spellEnd"/>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D15FC" id="Rectangle 58" o:spid="_x0000_s1044" style="position:absolute;margin-left:257.15pt;margin-top:22.25pt;width:86.25pt;height:27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grAAIAAA0EAAAOAAAAZHJzL2Uyb0RvYy54bWysU8Fu2zAMvQ/YPwi6L3acZmuNOEWXIMOA&#10;rh2QDjvLshwbkEWNUmJnXz9KidOtBXYYdhFIi3zie3xe3A6dZgeFrgVT8Okk5UwZCVVrdgX/9rR5&#10;d82Z88JUQoNRBT8qx2+Xb98sepurDBrQlUJGIMblvS14473Nk8TJRnXCTcAqQ5c1YCc8pbhLKhQ9&#10;oXc6ydL0fdIDVhZBKufo6/p0yZcRv66V9I917ZRnuuA0m48nxrMMZ7JciHyHwjatPI8h/mGKTrSG&#10;Hr1ArYUXbI/tK6iulQgOaj+R0CVQ161UkQOxmaYv2GwbYVXkQuI4e5HJ/T9Y+XDY2q9IMvTW5Y5C&#10;VvZfoKJVib2HyGmosQvcaFo2ROmOF+nU4Jmkj9P0Zj77MOdM0t3sKrtJo7aJyMdui85/UtCxEBQc&#10;aTURXRzunaf3qXQsCY850G21abWOCe7KlUZ2ELTGLJ3Pr7OwOWr5o0ybv3ferT9uVrPXnYRzalXR&#10;Med5RkFO0vihHFhbEdOrABAuS6iOpBe5n/g0gD8568lJBXc/9gIVZ/qzoVUF240BjkE5BmbfrYBY&#10;TTlDr2NIDcJIAiy49DgmK3+yLfnGCn9vtlaGrsA46PY0fBdoz+J6WssDjPYR+QuNT7Wh08Adbblu&#10;4wKeOZG0ISHPRZHP/0cw9e95rHr+i5e/AAAA//8DAFBLAwQUAAYACAAAACEAsLysfuAAAAAJAQAA&#10;DwAAAGRycy9kb3ducmV2LnhtbEyP0U6DQBBF3038h82Y+GLsUgoEkaUxTUxMfDClfsAURkB3Z5Hd&#10;Uvx716f6OJmTe88tt4vRYqbJDZYVrFcRCOLGtgN3Ct4Pz/c5COeRW9SWScEPOdhW11clFq09857m&#10;2ncihLArUEHv/VhI6ZqeDLqVHYnD78NOBn04p062E55DuNEyjqJMGhw4NPQ40q6n5qs+GQWfO3sX&#10;7ze5j6P5uz68vml86bRStzfL0yMIT4u/wPCnH9ShCk5He+LWCa0gXSebgCpIkhREALI8C1uOCh7y&#10;FGRVyv8Lql8AAAD//wMAUEsBAi0AFAAGAAgAAAAhALaDOJL+AAAA4QEAABMAAAAAAAAAAAAAAAAA&#10;AAAAAFtDb250ZW50X1R5cGVzXS54bWxQSwECLQAUAAYACAAAACEAOP0h/9YAAACUAQAACwAAAAAA&#10;AAAAAAAAAAAvAQAAX3JlbHMvLnJlbHNQSwECLQAUAAYACAAAACEAjAo4KwACAAANBAAADgAAAAAA&#10;AAAAAAAAAAAuAgAAZHJzL2Uyb0RvYy54bWxQSwECLQAUAAYACAAAACEAsLysfuAAAAAJAQAADwAA&#10;AAAAAAAAAAAAAABaBAAAZHJzL2Rvd25yZXYueG1sUEsFBgAAAAAEAAQA8wAAAGcFAAAAAA==&#10;" fillcolor="#205582" strokecolor="#adbfc3">
                <v:textbox inset="0,0,0,0">
                  <w:txbxContent>
                    <w:p w14:paraId="1C50C228" w14:textId="77777777" w:rsidR="009577E3" w:rsidRPr="009577E3" w:rsidRDefault="009577E3" w:rsidP="009577E3">
                      <w:pPr>
                        <w:spacing w:after="120" w:line="288" w:lineRule="auto"/>
                        <w:jc w:val="center"/>
                        <w:textAlignment w:val="baseline"/>
                        <w:rPr>
                          <w:rFonts w:eastAsia="Open Sans" w:cs="Open Sans"/>
                          <w:b/>
                          <w:bCs/>
                          <w:color w:val="FFFFFF" w:themeColor="background1"/>
                          <w:sz w:val="16"/>
                          <w:szCs w:val="16"/>
                        </w:rPr>
                      </w:pPr>
                      <w:r w:rsidRPr="009577E3">
                        <w:rPr>
                          <w:rFonts w:eastAsia="Open Sans" w:cs="Open Sans"/>
                          <w:b/>
                          <w:bCs/>
                          <w:color w:val="FFFFFF" w:themeColor="background1"/>
                          <w:sz w:val="16"/>
                          <w:szCs w:val="16"/>
                        </w:rPr>
                        <w:t xml:space="preserve">Comercial K </w:t>
                      </w:r>
                      <w:r w:rsidRPr="009577E3">
                        <w:rPr>
                          <w:rFonts w:eastAsia="Open Sans" w:cs="Open Sans"/>
                          <w:b/>
                          <w:bCs/>
                          <w:color w:val="FFFFFF" w:themeColor="background1"/>
                          <w:sz w:val="16"/>
                          <w:szCs w:val="16"/>
                        </w:rPr>
                        <w:br/>
                      </w:r>
                      <w:proofErr w:type="spellStart"/>
                      <w:r w:rsidRPr="009577E3">
                        <w:rPr>
                          <w:rFonts w:eastAsia="Open Sans" w:cs="Open Sans"/>
                          <w:b/>
                          <w:bCs/>
                          <w:color w:val="FFFFFF" w:themeColor="background1"/>
                          <w:sz w:val="16"/>
                          <w:szCs w:val="16"/>
                        </w:rPr>
                        <w:t>SpA</w:t>
                      </w:r>
                      <w:proofErr w:type="spellEnd"/>
                    </w:p>
                  </w:txbxContent>
                </v:textbox>
              </v:rect>
            </w:pict>
          </mc:Fallback>
        </mc:AlternateContent>
      </w:r>
    </w:p>
    <w:p w14:paraId="5C9A8002" w14:textId="77777777" w:rsidR="009577E3" w:rsidRDefault="009577E3" w:rsidP="00FE5A6A">
      <w:pPr>
        <w:pStyle w:val="Ttulo"/>
        <w:spacing w:after="120" w:line="240" w:lineRule="auto"/>
        <w:contextualSpacing w:val="0"/>
      </w:pPr>
    </w:p>
    <w:p w14:paraId="2C808AA1" w14:textId="0A6C5AE7" w:rsidR="009577E3" w:rsidRDefault="009577E3" w:rsidP="00FE5A6A">
      <w:pPr>
        <w:pStyle w:val="Ttulo"/>
        <w:spacing w:after="120" w:line="240" w:lineRule="auto"/>
        <w:contextualSpacing w:val="0"/>
      </w:pPr>
    </w:p>
    <w:p w14:paraId="22EB3069" w14:textId="2E2DC237" w:rsidR="00F7239E" w:rsidRPr="000528DB" w:rsidRDefault="00F7239E" w:rsidP="001C418F">
      <w:pPr>
        <w:pStyle w:val="Ttulo"/>
        <w:contextualSpacing w:val="0"/>
      </w:pPr>
      <w:r>
        <w:t>Composición de los flujos</w:t>
      </w:r>
    </w:p>
    <w:p w14:paraId="2D5DA988" w14:textId="5881D7C8" w:rsidR="00904943" w:rsidRDefault="006240F6" w:rsidP="001C418F">
      <w:pPr>
        <w:spacing w:after="120"/>
        <w:jc w:val="both"/>
      </w:pPr>
      <w:r w:rsidRPr="006240F6">
        <w:rPr>
          <w:b/>
          <w:bCs/>
        </w:rPr>
        <w:t>MK</w:t>
      </w:r>
      <w:r>
        <w:t xml:space="preserve">, opera principalmente a través de tres líneas de negocios: Proyectos, </w:t>
      </w:r>
      <w:proofErr w:type="spellStart"/>
      <w:r w:rsidRPr="006240F6">
        <w:rPr>
          <w:i/>
          <w:iCs/>
        </w:rPr>
        <w:t>Retail</w:t>
      </w:r>
      <w:proofErr w:type="spellEnd"/>
      <w:r>
        <w:t xml:space="preserve"> y Distribución. Adicionalmente, </w:t>
      </w:r>
      <w:r w:rsidR="0083726B">
        <w:t>genera</w:t>
      </w:r>
      <w:r w:rsidR="00AF39DC">
        <w:t xml:space="preserve"> </w:t>
      </w:r>
      <w:r w:rsidR="0083726B">
        <w:t xml:space="preserve">ingresos por </w:t>
      </w:r>
      <w:r w:rsidR="00AF39DC">
        <w:t xml:space="preserve">concepto de </w:t>
      </w:r>
      <w:r w:rsidR="0083726B">
        <w:rPr>
          <w:lang w:val="es-ES"/>
        </w:rPr>
        <w:t>v</w:t>
      </w:r>
      <w:r w:rsidR="0083726B" w:rsidRPr="0083726B">
        <w:rPr>
          <w:lang w:val="es-ES"/>
        </w:rPr>
        <w:t>entas no presencial, fletes y recargo a clientes</w:t>
      </w:r>
      <w:r w:rsidR="006A79F4">
        <w:rPr>
          <w:lang w:val="es-ES"/>
        </w:rPr>
        <w:t>, entre otros</w:t>
      </w:r>
      <w:r w:rsidR="0083726B" w:rsidRPr="0083726B">
        <w:rPr>
          <w:lang w:val="es-ES"/>
        </w:rPr>
        <w:t>.</w:t>
      </w:r>
    </w:p>
    <w:p w14:paraId="7FE8652A" w14:textId="6177F984" w:rsidR="006240F6" w:rsidRDefault="006240F6" w:rsidP="001C418F">
      <w:pPr>
        <w:spacing w:after="120"/>
        <w:jc w:val="both"/>
      </w:pPr>
      <w:r>
        <w:t xml:space="preserve">Dentro de las líneas de negocios, en términos de ingresos, destaca por su elevada importancia el segmento de </w:t>
      </w:r>
      <w:r w:rsidR="008961DD">
        <w:t>Proyectos</w:t>
      </w:r>
      <w:r>
        <w:t xml:space="preserve">, </w:t>
      </w:r>
      <w:r w:rsidR="00A842B2">
        <w:t>que representó</w:t>
      </w:r>
      <w:r>
        <w:t xml:space="preserve"> </w:t>
      </w:r>
      <w:r w:rsidRPr="00904943">
        <w:t xml:space="preserve">un </w:t>
      </w:r>
      <w:r w:rsidR="00904943" w:rsidRPr="00904943">
        <w:t>44</w:t>
      </w:r>
      <w:r w:rsidRPr="00904943">
        <w:t>,</w:t>
      </w:r>
      <w:r w:rsidR="00904943" w:rsidRPr="00904943">
        <w:t>8</w:t>
      </w:r>
      <w:r w:rsidRPr="00904943">
        <w:t xml:space="preserve">% de </w:t>
      </w:r>
      <w:r w:rsidR="00A8085A">
        <w:t xml:space="preserve">las ventas </w:t>
      </w:r>
      <w:r w:rsidRPr="009C7EB1">
        <w:t>en 2020</w:t>
      </w:r>
      <w:r w:rsidR="00A8085A">
        <w:t>, mientras que las</w:t>
      </w:r>
      <w:r w:rsidRPr="009C7EB1">
        <w:t xml:space="preserve"> líneas de </w:t>
      </w:r>
      <w:proofErr w:type="spellStart"/>
      <w:r w:rsidR="00053C89" w:rsidRPr="009C7EB1">
        <w:rPr>
          <w:i/>
          <w:iCs/>
        </w:rPr>
        <w:t>Retail</w:t>
      </w:r>
      <w:proofErr w:type="spellEnd"/>
      <w:r w:rsidRPr="009C7EB1">
        <w:t xml:space="preserve"> y </w:t>
      </w:r>
      <w:r w:rsidR="00053C89" w:rsidRPr="009C7EB1">
        <w:t>Distribución</w:t>
      </w:r>
      <w:r w:rsidRPr="009C7EB1">
        <w:t xml:space="preserve"> representaron un </w:t>
      </w:r>
      <w:r w:rsidR="009C7EB1" w:rsidRPr="009C7EB1">
        <w:t>38,1</w:t>
      </w:r>
      <w:r w:rsidRPr="009C7EB1">
        <w:t xml:space="preserve">% y </w:t>
      </w:r>
      <w:r w:rsidR="009C7EB1" w:rsidRPr="009C7EB1">
        <w:t>16</w:t>
      </w:r>
      <w:r w:rsidRPr="009C7EB1">
        <w:t>,</w:t>
      </w:r>
      <w:r w:rsidR="009C7EB1" w:rsidRPr="009C7EB1">
        <w:t>9</w:t>
      </w:r>
      <w:r w:rsidRPr="009C7EB1">
        <w:t>%, respectivamente</w:t>
      </w:r>
      <w:r w:rsidR="00AD4EDF">
        <w:t>, en el mismo año</w:t>
      </w:r>
      <w:r w:rsidRPr="00BF74DF">
        <w:t xml:space="preserve">. Por su parte, el segmento “Otros” corresponde a una porción marginal de los ingresos </w:t>
      </w:r>
      <w:r w:rsidR="00AD4EDF">
        <w:t>(</w:t>
      </w:r>
      <w:r w:rsidRPr="00BF74DF">
        <w:t>0,</w:t>
      </w:r>
      <w:r w:rsidR="00BF74DF" w:rsidRPr="00BF74DF">
        <w:t>2</w:t>
      </w:r>
      <w:r w:rsidRPr="00BF74DF">
        <w:t xml:space="preserve">% </w:t>
      </w:r>
      <w:r w:rsidR="00AD4EDF">
        <w:t>en 2020)</w:t>
      </w:r>
      <w:r w:rsidRPr="00BF74DF">
        <w:t>.</w:t>
      </w:r>
      <w:r>
        <w:t xml:space="preserve"> En términos de EBITDA, el área de </w:t>
      </w:r>
      <w:r w:rsidR="00BF74DF">
        <w:t>Proyectos</w:t>
      </w:r>
      <w:r>
        <w:t xml:space="preserve"> </w:t>
      </w:r>
      <w:r w:rsidR="00D830F2" w:rsidRPr="00687827">
        <w:t>reportó</w:t>
      </w:r>
      <w:r w:rsidRPr="00687827">
        <w:t xml:space="preserve"> $ </w:t>
      </w:r>
      <w:r w:rsidR="00037C12" w:rsidRPr="00687827">
        <w:t xml:space="preserve">2.717 </w:t>
      </w:r>
      <w:r w:rsidRPr="00687827">
        <w:t>millones en 2020,</w:t>
      </w:r>
      <w:r>
        <w:t xml:space="preserve"> mientras que los segmentos de </w:t>
      </w:r>
      <w:proofErr w:type="spellStart"/>
      <w:r w:rsidR="00BF74DF" w:rsidRPr="00BF74DF">
        <w:rPr>
          <w:i/>
          <w:iCs/>
        </w:rPr>
        <w:t>Retail</w:t>
      </w:r>
      <w:proofErr w:type="spellEnd"/>
      <w:r w:rsidR="00BF74DF">
        <w:t xml:space="preserve"> y </w:t>
      </w:r>
      <w:r w:rsidR="002442ED">
        <w:t xml:space="preserve">Distribución </w:t>
      </w:r>
      <w:r>
        <w:t xml:space="preserve">tuvieron valores de $ </w:t>
      </w:r>
      <w:r w:rsidR="00F46160" w:rsidRPr="00F46160">
        <w:t xml:space="preserve">5.068 </w:t>
      </w:r>
      <w:r w:rsidRPr="00F46160">
        <w:t>millo</w:t>
      </w:r>
      <w:r w:rsidRPr="00CB1955">
        <w:t xml:space="preserve">nes y $ </w:t>
      </w:r>
      <w:r w:rsidR="00CB1955" w:rsidRPr="00CB1955">
        <w:t xml:space="preserve">1.134 </w:t>
      </w:r>
      <w:r>
        <w:t>millones</w:t>
      </w:r>
      <w:r w:rsidR="00365DD8">
        <w:t>,</w:t>
      </w:r>
      <w:r>
        <w:t xml:space="preserve"> respectivamente.</w:t>
      </w:r>
    </w:p>
    <w:p w14:paraId="2E6E9F30" w14:textId="73FE2393" w:rsidR="00960F8C" w:rsidRDefault="00B32368" w:rsidP="00931005">
      <w:pPr>
        <w:keepNext/>
        <w:jc w:val="center"/>
        <w:rPr>
          <w:noProof/>
        </w:rPr>
      </w:pPr>
      <w:r>
        <w:rPr>
          <w:noProof/>
        </w:rPr>
        <w:drawing>
          <wp:inline distT="0" distB="0" distL="0" distR="0" wp14:anchorId="77A7B982" wp14:editId="52AC22C8">
            <wp:extent cx="5040000" cy="2160000"/>
            <wp:effectExtent l="0" t="0" r="8255" b="0"/>
            <wp:docPr id="73" name="Gráfico 73">
              <a:extLst xmlns:a="http://schemas.openxmlformats.org/drawingml/2006/main">
                <a:ext uri="{FF2B5EF4-FFF2-40B4-BE49-F238E27FC236}">
                  <a16:creationId xmlns:a16="http://schemas.microsoft.com/office/drawing/2014/main" id="{BF1EB323-7C05-411C-A398-376B068CE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1B9101" w14:textId="77777777" w:rsidR="00D11F73" w:rsidRDefault="00D11F73" w:rsidP="00931005">
      <w:pPr>
        <w:keepNext/>
        <w:jc w:val="center"/>
        <w:rPr>
          <w:noProof/>
        </w:rPr>
      </w:pPr>
    </w:p>
    <w:p w14:paraId="0D1DD11F" w14:textId="47AB9F5D" w:rsidR="001A408E" w:rsidRDefault="00931005" w:rsidP="00ED3A2D">
      <w:pPr>
        <w:pStyle w:val="Descripcin"/>
      </w:pPr>
      <w:r>
        <w:t xml:space="preserve">Ilustración </w:t>
      </w:r>
      <w:r w:rsidR="000179F4">
        <w:fldChar w:fldCharType="begin"/>
      </w:r>
      <w:r w:rsidR="000179F4">
        <w:instrText xml:space="preserve"> SEQ Ilustración \* ARABIC </w:instrText>
      </w:r>
      <w:r w:rsidR="000179F4">
        <w:fldChar w:fldCharType="separate"/>
      </w:r>
      <w:r w:rsidR="000179F4">
        <w:rPr>
          <w:noProof/>
        </w:rPr>
        <w:t>1</w:t>
      </w:r>
      <w:r w:rsidR="000179F4">
        <w:rPr>
          <w:noProof/>
        </w:rPr>
        <w:fldChar w:fldCharType="end"/>
      </w:r>
      <w:r>
        <w:t xml:space="preserve">: Estructura </w:t>
      </w:r>
      <w:r w:rsidR="003531E4">
        <w:t>Ingresos</w:t>
      </w:r>
      <w:r w:rsidR="00DA0CB9">
        <w:t xml:space="preserve"> </w:t>
      </w:r>
      <w:r w:rsidR="00DA0CB9" w:rsidRPr="00B32368">
        <w:rPr>
          <w:b/>
          <w:bCs/>
        </w:rPr>
        <w:t>MK</w:t>
      </w:r>
      <w:r>
        <w:t xml:space="preserve"> (</w:t>
      </w:r>
      <w:r w:rsidR="00111EDE">
        <w:t>201</w:t>
      </w:r>
      <w:r w:rsidR="00B32368">
        <w:t>7</w:t>
      </w:r>
      <w:r w:rsidR="00111EDE">
        <w:t>-2020</w:t>
      </w:r>
      <w:r>
        <w:t>)</w:t>
      </w:r>
    </w:p>
    <w:p w14:paraId="405F0ACD" w14:textId="26F7BB42" w:rsidR="001A408E" w:rsidRDefault="00492138" w:rsidP="0032103C">
      <w:pPr>
        <w:keepNext/>
        <w:jc w:val="center"/>
        <w:rPr>
          <w:noProof/>
        </w:rPr>
      </w:pPr>
      <w:r>
        <w:rPr>
          <w:noProof/>
        </w:rPr>
        <w:lastRenderedPageBreak/>
        <w:drawing>
          <wp:inline distT="0" distB="0" distL="0" distR="0" wp14:anchorId="08D7A27B" wp14:editId="30BF26BA">
            <wp:extent cx="5040000" cy="2160000"/>
            <wp:effectExtent l="0" t="0" r="8255" b="0"/>
            <wp:docPr id="74" name="Gráfico 74">
              <a:extLst xmlns:a="http://schemas.openxmlformats.org/drawingml/2006/main">
                <a:ext uri="{FF2B5EF4-FFF2-40B4-BE49-F238E27FC236}">
                  <a16:creationId xmlns:a16="http://schemas.microsoft.com/office/drawing/2014/main" id="{CDA8D8F9-23B7-4625-B0A5-E6D051838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1B5F58" w14:textId="783863FF" w:rsidR="00960F8C" w:rsidRDefault="00960F8C" w:rsidP="0032103C">
      <w:pPr>
        <w:keepNext/>
        <w:jc w:val="center"/>
        <w:rPr>
          <w:noProof/>
        </w:rPr>
      </w:pPr>
    </w:p>
    <w:p w14:paraId="5BABA724" w14:textId="51D7597D" w:rsidR="0032347B" w:rsidRDefault="0032103C" w:rsidP="0032103C">
      <w:pPr>
        <w:pStyle w:val="Descripcin"/>
      </w:pPr>
      <w:r>
        <w:t xml:space="preserve">Ilustración </w:t>
      </w:r>
      <w:r w:rsidR="000179F4">
        <w:fldChar w:fldCharType="begin"/>
      </w:r>
      <w:r w:rsidR="000179F4">
        <w:instrText xml:space="preserve"> SEQ Ilustración \* ARABIC </w:instrText>
      </w:r>
      <w:r w:rsidR="000179F4">
        <w:fldChar w:fldCharType="separate"/>
      </w:r>
      <w:r w:rsidR="000179F4">
        <w:rPr>
          <w:noProof/>
        </w:rPr>
        <w:t>2</w:t>
      </w:r>
      <w:r w:rsidR="000179F4">
        <w:rPr>
          <w:noProof/>
        </w:rPr>
        <w:fldChar w:fldCharType="end"/>
      </w:r>
      <w:r>
        <w:rPr>
          <w:noProof/>
        </w:rPr>
        <w:t xml:space="preserve">: Estructura </w:t>
      </w:r>
      <w:r w:rsidR="003531E4">
        <w:rPr>
          <w:noProof/>
        </w:rPr>
        <w:t xml:space="preserve">EBITDA </w:t>
      </w:r>
      <w:r w:rsidR="00DA0CB9" w:rsidRPr="002E3A38">
        <w:rPr>
          <w:b/>
          <w:bCs/>
          <w:noProof/>
        </w:rPr>
        <w:t>MK</w:t>
      </w:r>
      <w:r w:rsidRPr="002E3A38">
        <w:rPr>
          <w:b/>
          <w:bCs/>
          <w:noProof/>
        </w:rPr>
        <w:t xml:space="preserve"> </w:t>
      </w:r>
      <w:r>
        <w:rPr>
          <w:noProof/>
        </w:rPr>
        <w:t>(201</w:t>
      </w:r>
      <w:r w:rsidR="000F0CAC">
        <w:rPr>
          <w:noProof/>
        </w:rPr>
        <w:t>7</w:t>
      </w:r>
      <w:r>
        <w:rPr>
          <w:noProof/>
        </w:rPr>
        <w:t>-2020)</w:t>
      </w:r>
    </w:p>
    <w:p w14:paraId="0D3B5573" w14:textId="6F833B75" w:rsidR="000B52AE" w:rsidRDefault="000B52AE" w:rsidP="001D798B"/>
    <w:p w14:paraId="188CEEF1" w14:textId="5221D89D" w:rsidR="00D5369D" w:rsidRDefault="00BD00CD" w:rsidP="001C418F">
      <w:pPr>
        <w:spacing w:before="240" w:line="360" w:lineRule="auto"/>
      </w:pPr>
      <w:r>
        <w:rPr>
          <w:rFonts w:eastAsiaTheme="majorEastAsia" w:cstheme="majorBidi"/>
          <w:b/>
          <w:sz w:val="44"/>
          <w:szCs w:val="32"/>
          <w:lang w:val="es-ES"/>
        </w:rPr>
        <w:t xml:space="preserve">Cadena de </w:t>
      </w:r>
      <w:r w:rsidR="001C418F">
        <w:rPr>
          <w:rFonts w:eastAsiaTheme="majorEastAsia" w:cstheme="majorBidi"/>
          <w:b/>
          <w:sz w:val="44"/>
          <w:szCs w:val="32"/>
          <w:lang w:val="es-ES"/>
        </w:rPr>
        <w:t>s</w:t>
      </w:r>
      <w:r>
        <w:rPr>
          <w:rFonts w:eastAsiaTheme="majorEastAsia" w:cstheme="majorBidi"/>
          <w:b/>
          <w:sz w:val="44"/>
          <w:szCs w:val="32"/>
          <w:lang w:val="es-ES"/>
        </w:rPr>
        <w:t>uministro</w:t>
      </w:r>
    </w:p>
    <w:p w14:paraId="473F5514" w14:textId="6B55A2A0" w:rsidR="00D5369D" w:rsidRPr="000528DB" w:rsidRDefault="00D5369D" w:rsidP="001C418F">
      <w:pPr>
        <w:pStyle w:val="Ttulo"/>
        <w:spacing w:after="120" w:line="240" w:lineRule="auto"/>
        <w:contextualSpacing w:val="0"/>
      </w:pPr>
      <w:r>
        <w:t>Abastecimiento</w:t>
      </w:r>
    </w:p>
    <w:p w14:paraId="04A3D5EF" w14:textId="61F774C0" w:rsidR="00F337BB" w:rsidRPr="00660D73" w:rsidRDefault="00E4630D" w:rsidP="001C418F">
      <w:pPr>
        <w:spacing w:after="120"/>
        <w:jc w:val="both"/>
        <w:rPr>
          <w:rFonts w:ascii="Times New Roman" w:eastAsia="Times New Roman" w:hAnsi="Times New Roman" w:cs="Times New Roman"/>
          <w:color w:val="auto"/>
          <w:sz w:val="24"/>
          <w:lang w:eastAsia="es-ES_tradnl"/>
        </w:rPr>
      </w:pPr>
      <w:r>
        <w:t xml:space="preserve">Una vez que se recibe </w:t>
      </w:r>
      <w:r w:rsidR="00EB4FF3">
        <w:t>una</w:t>
      </w:r>
      <w:r>
        <w:t xml:space="preserve"> orden d</w:t>
      </w:r>
      <w:r w:rsidR="00EB4FF3">
        <w:t>e</w:t>
      </w:r>
      <w:r>
        <w:t xml:space="preserve"> compra de un proyecto, se ingresan los requerimientos de insumos al</w:t>
      </w:r>
      <w:r w:rsidR="000C0A72">
        <w:t xml:space="preserve"> sistema</w:t>
      </w:r>
      <w:r w:rsidR="000B745A">
        <w:t xml:space="preserve"> de la compañía, y posteriormente se solicita </w:t>
      </w:r>
      <w:r>
        <w:t>a</w:t>
      </w:r>
      <w:r w:rsidR="006B3AF3">
        <w:t>l cliente</w:t>
      </w:r>
      <w:r>
        <w:t xml:space="preserve"> un calendario de entrega</w:t>
      </w:r>
      <w:r w:rsidR="000B745A">
        <w:t xml:space="preserve"> mensual. Con esto el sistema </w:t>
      </w:r>
      <w:r>
        <w:t xml:space="preserve">calcula cada </w:t>
      </w:r>
      <w:r w:rsidRPr="00A94BC3">
        <w:rPr>
          <w:i/>
          <w:iCs/>
        </w:rPr>
        <w:t>SKU</w:t>
      </w:r>
      <w:r>
        <w:t xml:space="preserve"> </w:t>
      </w:r>
      <w:r w:rsidR="00342F5C">
        <w:t>(</w:t>
      </w:r>
      <w:r w:rsidR="00342F5C" w:rsidRPr="00660D73">
        <w:rPr>
          <w:i/>
          <w:iCs/>
        </w:rPr>
        <w:t>Stock-</w:t>
      </w:r>
      <w:proofErr w:type="spellStart"/>
      <w:r w:rsidR="00342F5C" w:rsidRPr="00660D73">
        <w:rPr>
          <w:i/>
          <w:iCs/>
        </w:rPr>
        <w:t>keeping</w:t>
      </w:r>
      <w:proofErr w:type="spellEnd"/>
      <w:r w:rsidR="00342F5C" w:rsidRPr="00660D73">
        <w:rPr>
          <w:i/>
          <w:iCs/>
        </w:rPr>
        <w:t xml:space="preserve"> </w:t>
      </w:r>
      <w:proofErr w:type="spellStart"/>
      <w:r w:rsidR="00342F5C" w:rsidRPr="00660D73">
        <w:rPr>
          <w:i/>
          <w:iCs/>
        </w:rPr>
        <w:t>unit</w:t>
      </w:r>
      <w:proofErr w:type="spellEnd"/>
      <w:r w:rsidR="00342F5C">
        <w:t xml:space="preserve">) </w:t>
      </w:r>
      <w:r>
        <w:t xml:space="preserve">hacia el futuro, </w:t>
      </w:r>
      <w:r w:rsidR="00875163">
        <w:t>comparándolo con el</w:t>
      </w:r>
      <w:r>
        <w:t xml:space="preserve"> </w:t>
      </w:r>
      <w:r w:rsidRPr="00EB4FF3">
        <w:rPr>
          <w:i/>
          <w:iCs/>
        </w:rPr>
        <w:t>stock</w:t>
      </w:r>
      <w:r w:rsidR="00875163">
        <w:t xml:space="preserve"> de materia prima que</w:t>
      </w:r>
      <w:r w:rsidR="00EB4FF3">
        <w:t xml:space="preserve"> se</w:t>
      </w:r>
      <w:r w:rsidR="00875163">
        <w:t xml:space="preserve"> posee a la fecha</w:t>
      </w:r>
      <w:r w:rsidR="00CE047A">
        <w:t xml:space="preserve"> y con lo que se ha vendido, </w:t>
      </w:r>
      <w:r w:rsidR="000C0A72">
        <w:t xml:space="preserve">para </w:t>
      </w:r>
      <w:r>
        <w:t>estima</w:t>
      </w:r>
      <w:r w:rsidR="000C0A72">
        <w:t>r</w:t>
      </w:r>
      <w:r>
        <w:t xml:space="preserve"> </w:t>
      </w:r>
      <w:r w:rsidR="00CE047A">
        <w:t>la factibilidad de</w:t>
      </w:r>
      <w:r>
        <w:t xml:space="preserve"> </w:t>
      </w:r>
      <w:r w:rsidR="00CE047A">
        <w:t>la entrega a tiempo</w:t>
      </w:r>
      <w:r>
        <w:t>.</w:t>
      </w:r>
      <w:r w:rsidR="001513B7">
        <w:t xml:space="preserve"> </w:t>
      </w:r>
      <w:r w:rsidR="00D46379">
        <w:t>Para lo anterior, la empresa se abastece con una anticipación de seis meses (</w:t>
      </w:r>
      <w:r w:rsidR="006F1C4F">
        <w:t xml:space="preserve">en </w:t>
      </w:r>
      <w:r w:rsidR="00D46379">
        <w:t xml:space="preserve">promedio) para cumplir con los requerimientos del cliente.  </w:t>
      </w:r>
    </w:p>
    <w:p w14:paraId="189376C2" w14:textId="0CEA3BA0" w:rsidR="0038253B" w:rsidRDefault="00D46379" w:rsidP="001C418F">
      <w:pPr>
        <w:spacing w:after="120"/>
        <w:jc w:val="both"/>
      </w:pPr>
      <w:r>
        <w:rPr>
          <w:b/>
          <w:bCs/>
        </w:rPr>
        <w:t>MK</w:t>
      </w:r>
      <w:r w:rsidR="00A47C53">
        <w:t xml:space="preserve"> cuenta con una red de </w:t>
      </w:r>
      <w:proofErr w:type="spellStart"/>
      <w:r w:rsidR="00A47C53" w:rsidRPr="00EB0DE3">
        <w:rPr>
          <w:i/>
          <w:iCs/>
        </w:rPr>
        <w:t>partners</w:t>
      </w:r>
      <w:proofErr w:type="spellEnd"/>
      <w:r w:rsidR="00A47C53">
        <w:t xml:space="preserve"> estratégicos a nivel mundial, líderes en cada una de sus categorías de productos de Europa, América y Asia</w:t>
      </w:r>
      <w:r w:rsidR="008F6E2D">
        <w:t>, según lo informado por la empresa</w:t>
      </w:r>
      <w:r w:rsidR="00A47C53">
        <w:t xml:space="preserve">. </w:t>
      </w:r>
      <w:r w:rsidR="00C97D6A">
        <w:t>Es así como p</w:t>
      </w:r>
      <w:r w:rsidR="00D5345F">
        <w:t>osee más de 155 proveedores</w:t>
      </w:r>
      <w:r w:rsidR="00C6119A">
        <w:t>.</w:t>
      </w:r>
      <w:r w:rsidR="000650B7">
        <w:t xml:space="preserve"> </w:t>
      </w:r>
      <w:r w:rsidR="00423D5E">
        <w:t>En cuanto a</w:t>
      </w:r>
      <w:r w:rsidR="00E977D4">
        <w:t xml:space="preserve"> las</w:t>
      </w:r>
      <w:r w:rsidR="00423D5E">
        <w:t xml:space="preserve"> importaciones por contenedores, durante 2020 </w:t>
      </w:r>
      <w:r w:rsidR="00593917">
        <w:t>el 62% provino de</w:t>
      </w:r>
      <w:r w:rsidR="007D3296">
        <w:t>sde</w:t>
      </w:r>
      <w:r w:rsidR="00593917">
        <w:t xml:space="preserve"> China, </w:t>
      </w:r>
      <w:r w:rsidR="00654218">
        <w:t xml:space="preserve">mientras que el resto de </w:t>
      </w:r>
      <w:proofErr w:type="gramStart"/>
      <w:r w:rsidR="00654218">
        <w:t>importaciones</w:t>
      </w:r>
      <w:proofErr w:type="gramEnd"/>
      <w:r w:rsidR="00654218">
        <w:t xml:space="preserve"> se realizaron desde Perú, Brasil, </w:t>
      </w:r>
      <w:r w:rsidR="00C10413">
        <w:t>México, España, entre otros.</w:t>
      </w:r>
      <w:r w:rsidR="00D020EF">
        <w:t xml:space="preserve"> </w:t>
      </w:r>
    </w:p>
    <w:p w14:paraId="5A1E2EFA" w14:textId="77777777" w:rsidR="004A09F1" w:rsidRDefault="00D020EF" w:rsidP="001C418F">
      <w:pPr>
        <w:spacing w:after="120"/>
        <w:jc w:val="both"/>
      </w:pPr>
      <w:r>
        <w:t>Cabe mencionar</w:t>
      </w:r>
      <w:r w:rsidR="0038253B">
        <w:t>,</w:t>
      </w:r>
      <w:r>
        <w:t xml:space="preserve"> que cerca de la mitad del abastecimiento, </w:t>
      </w:r>
      <w:r w:rsidRPr="00D020EF">
        <w:rPr>
          <w:b/>
          <w:bCs/>
        </w:rPr>
        <w:t>MK</w:t>
      </w:r>
      <w:r>
        <w:t xml:space="preserve"> lo realiza a través de</w:t>
      </w:r>
      <w:r w:rsidR="00C6451D">
        <w:t xml:space="preserve"> la marca</w:t>
      </w:r>
      <w:r>
        <w:t xml:space="preserve"> </w:t>
      </w:r>
      <w:proofErr w:type="spellStart"/>
      <w:r w:rsidRPr="00D52679">
        <w:t>Klipen</w:t>
      </w:r>
      <w:proofErr w:type="spellEnd"/>
      <w:r>
        <w:rPr>
          <w:b/>
          <w:bCs/>
        </w:rPr>
        <w:t xml:space="preserve">, </w:t>
      </w:r>
      <w:r w:rsidRPr="00D020EF">
        <w:t xml:space="preserve">que es </w:t>
      </w:r>
      <w:r w:rsidR="00C6451D">
        <w:t>una asociación con empresas latinoamericanas</w:t>
      </w:r>
      <w:r w:rsidR="00AC7F0E">
        <w:t xml:space="preserve"> (Chile, Perú, Colombia, Bolivia, Uruguay, Guatemala, Salvador y Nicaragua)</w:t>
      </w:r>
      <w:r w:rsidR="00C6451D">
        <w:t xml:space="preserve"> líderes en el rubro</w:t>
      </w:r>
      <w:r w:rsidR="0038253B">
        <w:t>. Esta marca se desarroll</w:t>
      </w:r>
      <w:r w:rsidR="00AC7F0E">
        <w:t>ó</w:t>
      </w:r>
      <w:r w:rsidR="0038253B">
        <w:t xml:space="preserve"> </w:t>
      </w:r>
      <w:r w:rsidR="008734D5">
        <w:t xml:space="preserve">con el objetivo de comprar </w:t>
      </w:r>
      <w:r w:rsidR="005516B4">
        <w:t xml:space="preserve">insumos a gran escala, aprovechando los descuentos por volumen que se generan por </w:t>
      </w:r>
      <w:r w:rsidR="00AC7F0E">
        <w:t>comprar bajo esta modalidad</w:t>
      </w:r>
      <w:r w:rsidR="00AD1F24">
        <w:t>.</w:t>
      </w:r>
      <w:r w:rsidR="00781843">
        <w:t xml:space="preserve"> </w:t>
      </w:r>
      <w:r w:rsidR="00D52679">
        <w:t xml:space="preserve">A través de </w:t>
      </w:r>
      <w:proofErr w:type="spellStart"/>
      <w:r w:rsidR="00D52679">
        <w:t>Klipen</w:t>
      </w:r>
      <w:proofErr w:type="spellEnd"/>
      <w:r w:rsidR="00781843">
        <w:t xml:space="preserve">, </w:t>
      </w:r>
      <w:r w:rsidR="00D52679">
        <w:t>los socios</w:t>
      </w:r>
      <w:r w:rsidR="002C071C">
        <w:t xml:space="preserve"> </w:t>
      </w:r>
      <w:r w:rsidR="00781843">
        <w:t>desarrolla</w:t>
      </w:r>
      <w:r w:rsidR="002C071C">
        <w:t>n</w:t>
      </w:r>
      <w:r w:rsidR="00781843">
        <w:t xml:space="preserve"> productos para Latinoamérica, a la medida del requerimiento de cada país, en términos de precio, diseño, y orígenes de producción.</w:t>
      </w:r>
      <w:r w:rsidR="00F76BEB">
        <w:t xml:space="preserve"> </w:t>
      </w:r>
    </w:p>
    <w:p w14:paraId="07C024D4" w14:textId="1C347CCF" w:rsidR="009143A7" w:rsidRDefault="009143A7" w:rsidP="001C418F">
      <w:pPr>
        <w:spacing w:after="120"/>
        <w:jc w:val="both"/>
      </w:pPr>
      <w:r>
        <w:t xml:space="preserve">Para </w:t>
      </w:r>
      <w:r w:rsidR="003D0259">
        <w:t>la mayor parte de</w:t>
      </w:r>
      <w:r>
        <w:t xml:space="preserve"> los productos de </w:t>
      </w:r>
      <w:r w:rsidRPr="009143A7">
        <w:rPr>
          <w:b/>
          <w:bCs/>
        </w:rPr>
        <w:t>MK</w:t>
      </w:r>
      <w:r>
        <w:t xml:space="preserve"> se tiene una alternativa </w:t>
      </w:r>
      <w:proofErr w:type="spellStart"/>
      <w:r>
        <w:t>Klipen</w:t>
      </w:r>
      <w:proofErr w:type="spellEnd"/>
      <w:r>
        <w:t xml:space="preserve">. De esta manera, </w:t>
      </w:r>
      <w:proofErr w:type="spellStart"/>
      <w:r>
        <w:t>Klipen</w:t>
      </w:r>
      <w:proofErr w:type="spellEnd"/>
      <w:r>
        <w:t xml:space="preserve"> </w:t>
      </w:r>
      <w:r w:rsidR="003A29AB">
        <w:t>otorga</w:t>
      </w:r>
      <w:r>
        <w:t xml:space="preserve"> redundancia y desarrollo de producto en otros países, de tal forma </w:t>
      </w:r>
      <w:proofErr w:type="gramStart"/>
      <w:r>
        <w:t>que</w:t>
      </w:r>
      <w:proofErr w:type="gramEnd"/>
      <w:r>
        <w:t xml:space="preserve"> si </w:t>
      </w:r>
      <w:r w:rsidR="0011783A">
        <w:t>se presentan dificultades de abastecimiento</w:t>
      </w:r>
      <w:r w:rsidR="003A29AB">
        <w:t xml:space="preserve">, </w:t>
      </w:r>
      <w:r w:rsidR="00B14820">
        <w:t xml:space="preserve">la compañía </w:t>
      </w:r>
      <w:r>
        <w:t xml:space="preserve">se puede </w:t>
      </w:r>
      <w:r w:rsidR="0011783A">
        <w:t>proveer</w:t>
      </w:r>
      <w:r>
        <w:t xml:space="preserve"> de igual forma.</w:t>
      </w:r>
    </w:p>
    <w:p w14:paraId="1398395E" w14:textId="77777777" w:rsidR="00ED3A2D" w:rsidRDefault="00ED3A2D" w:rsidP="001C418F">
      <w:pPr>
        <w:spacing w:after="120"/>
        <w:jc w:val="both"/>
        <w:rPr>
          <w:rFonts w:ascii="Myriad Pro Light" w:eastAsiaTheme="majorEastAsia" w:hAnsi="Myriad Pro Light" w:cstheme="majorBidi"/>
          <w:b/>
          <w:spacing w:val="-10"/>
          <w:kern w:val="28"/>
          <w:sz w:val="28"/>
          <w:szCs w:val="56"/>
        </w:rPr>
      </w:pPr>
    </w:p>
    <w:p w14:paraId="7D5ED8A9" w14:textId="77777777" w:rsidR="00B05EB1" w:rsidRDefault="00B05EB1" w:rsidP="00B05EB1">
      <w:pPr>
        <w:spacing w:line="360" w:lineRule="auto"/>
        <w:jc w:val="both"/>
        <w:rPr>
          <w:rFonts w:ascii="Myriad Pro Light" w:eastAsiaTheme="majorEastAsia" w:hAnsi="Myriad Pro Light" w:cstheme="majorBidi"/>
          <w:b/>
          <w:spacing w:val="-10"/>
          <w:kern w:val="28"/>
          <w:sz w:val="28"/>
          <w:szCs w:val="56"/>
        </w:rPr>
      </w:pPr>
      <w:r>
        <w:rPr>
          <w:rFonts w:ascii="Myriad Pro Light" w:eastAsiaTheme="majorEastAsia" w:hAnsi="Myriad Pro Light" w:cstheme="majorBidi"/>
          <w:b/>
          <w:spacing w:val="-10"/>
          <w:kern w:val="28"/>
          <w:sz w:val="28"/>
          <w:szCs w:val="56"/>
        </w:rPr>
        <w:br w:type="page"/>
      </w:r>
    </w:p>
    <w:p w14:paraId="2067386D" w14:textId="33FC9EA4" w:rsidR="00AB7603" w:rsidRPr="00126AC7" w:rsidRDefault="00AB7603" w:rsidP="00B05EB1">
      <w:pPr>
        <w:spacing w:line="360" w:lineRule="auto"/>
        <w:jc w:val="both"/>
        <w:rPr>
          <w:rFonts w:ascii="Myriad Pro Light" w:eastAsiaTheme="majorEastAsia" w:hAnsi="Myriad Pro Light" w:cstheme="majorBidi"/>
          <w:b/>
          <w:spacing w:val="-10"/>
          <w:kern w:val="28"/>
          <w:sz w:val="28"/>
          <w:szCs w:val="56"/>
        </w:rPr>
      </w:pPr>
      <w:r>
        <w:rPr>
          <w:rFonts w:ascii="Myriad Pro Light" w:eastAsiaTheme="majorEastAsia" w:hAnsi="Myriad Pro Light" w:cstheme="majorBidi"/>
          <w:b/>
          <w:spacing w:val="-10"/>
          <w:kern w:val="28"/>
          <w:sz w:val="28"/>
          <w:szCs w:val="56"/>
        </w:rPr>
        <w:lastRenderedPageBreak/>
        <w:t>Almacenaje</w:t>
      </w:r>
    </w:p>
    <w:p w14:paraId="3E51BE49" w14:textId="77777777" w:rsidR="00B04936" w:rsidRDefault="00FA1C35" w:rsidP="00B05EB1">
      <w:pPr>
        <w:spacing w:after="120"/>
        <w:jc w:val="both"/>
      </w:pPr>
      <w:r>
        <w:t xml:space="preserve">Para la recepción </w:t>
      </w:r>
      <w:r w:rsidR="00DC4185">
        <w:t>y el almacenamiento, la firma cuenta con un centro de distribución de 110.000 m</w:t>
      </w:r>
      <w:r w:rsidR="00DC4185" w:rsidRPr="00DC4185">
        <w:rPr>
          <w:vertAlign w:val="superscript"/>
        </w:rPr>
        <w:t>2</w:t>
      </w:r>
      <w:r w:rsidR="00DC4185">
        <w:t xml:space="preserve"> (con proyecto de ampliación a 200.000 m</w:t>
      </w:r>
      <w:r w:rsidR="00DC4185" w:rsidRPr="00DC4185">
        <w:rPr>
          <w:vertAlign w:val="superscript"/>
        </w:rPr>
        <w:t>2</w:t>
      </w:r>
      <w:r w:rsidR="00DC4185">
        <w:t>)</w:t>
      </w:r>
      <w:r w:rsidR="009227FE">
        <w:t xml:space="preserve"> ubicado en la región Metropolitana</w:t>
      </w:r>
      <w:r w:rsidR="00916441">
        <w:t>. La capac</w:t>
      </w:r>
      <w:r w:rsidR="009227FE">
        <w:t>i</w:t>
      </w:r>
      <w:r w:rsidR="00916441">
        <w:t>dad instalada</w:t>
      </w:r>
      <w:r w:rsidR="009227FE">
        <w:t xml:space="preserve"> </w:t>
      </w:r>
      <w:r w:rsidR="00916441">
        <w:t xml:space="preserve">de </w:t>
      </w:r>
      <w:r w:rsidR="00916441" w:rsidRPr="00916441">
        <w:rPr>
          <w:b/>
          <w:bCs/>
        </w:rPr>
        <w:t>MK</w:t>
      </w:r>
      <w:r w:rsidR="00916441">
        <w:t xml:space="preserve">, </w:t>
      </w:r>
      <w:r w:rsidR="009227FE">
        <w:t xml:space="preserve">le </w:t>
      </w:r>
      <w:r w:rsidR="00916441">
        <w:t>permite la recepción de</w:t>
      </w:r>
      <w:r w:rsidR="009227FE">
        <w:t xml:space="preserve"> alrededor de</w:t>
      </w:r>
      <w:r w:rsidR="00916441">
        <w:t xml:space="preserve"> 85 contenedores por día</w:t>
      </w:r>
      <w:r w:rsidR="009227FE">
        <w:t>.</w:t>
      </w:r>
      <w:r w:rsidR="00B04936">
        <w:t xml:space="preserve"> </w:t>
      </w:r>
    </w:p>
    <w:p w14:paraId="6D350BE9" w14:textId="0FAE9324" w:rsidR="00FA1DE7" w:rsidRDefault="00E60D0E" w:rsidP="00B05EB1">
      <w:pPr>
        <w:spacing w:after="120"/>
        <w:jc w:val="both"/>
      </w:pPr>
      <w:r>
        <w:t xml:space="preserve">Adicionalmente, la firma posee </w:t>
      </w:r>
      <w:r w:rsidR="00425C67">
        <w:t xml:space="preserve">sistemas </w:t>
      </w:r>
      <w:r w:rsidR="00BC500D">
        <w:t>de gestión de almacenes (</w:t>
      </w:r>
      <w:r w:rsidRPr="00425C67">
        <w:rPr>
          <w:i/>
          <w:iCs/>
        </w:rPr>
        <w:t>WMS</w:t>
      </w:r>
      <w:r w:rsidR="00B04936">
        <w:t>:</w:t>
      </w:r>
      <w:r w:rsidR="00660D73">
        <w:t xml:space="preserve"> </w:t>
      </w:r>
      <w:proofErr w:type="spellStart"/>
      <w:r w:rsidR="00B04936" w:rsidRPr="00660D73">
        <w:t>warehouse</w:t>
      </w:r>
      <w:proofErr w:type="spellEnd"/>
      <w:r w:rsidR="00B04936" w:rsidRPr="00660D73">
        <w:t xml:space="preserve"> </w:t>
      </w:r>
      <w:proofErr w:type="spellStart"/>
      <w:r w:rsidR="00B04936" w:rsidRPr="00660D73">
        <w:t>management</w:t>
      </w:r>
      <w:proofErr w:type="spellEnd"/>
      <w:r w:rsidR="00B04936" w:rsidRPr="00660D73">
        <w:t xml:space="preserve"> </w:t>
      </w:r>
      <w:proofErr w:type="spellStart"/>
      <w:r w:rsidR="00B04936" w:rsidRPr="00660D73">
        <w:t>system</w:t>
      </w:r>
      <w:proofErr w:type="spellEnd"/>
      <w:r w:rsidR="00B04936">
        <w:t xml:space="preserve">) </w:t>
      </w:r>
      <w:r>
        <w:t>de</w:t>
      </w:r>
      <w:r w:rsidR="00425C67">
        <w:t xml:space="preserve"> clase mundial para </w:t>
      </w:r>
      <w:r w:rsidR="00F20690">
        <w:t xml:space="preserve">la gestión operativa </w:t>
      </w:r>
      <w:r w:rsidR="00FE0087">
        <w:t>asociadas a</w:t>
      </w:r>
      <w:r w:rsidR="00425C67">
        <w:t>l</w:t>
      </w:r>
      <w:r>
        <w:t xml:space="preserve"> almacenaje y </w:t>
      </w:r>
      <w:r w:rsidR="00FE0087">
        <w:t xml:space="preserve">la </w:t>
      </w:r>
      <w:r>
        <w:t>preparación</w:t>
      </w:r>
      <w:r w:rsidR="00425C67">
        <w:t xml:space="preserve"> de pedidos. </w:t>
      </w:r>
      <w:r w:rsidR="008372F2">
        <w:t>La preparación de las órdenes incluye la o</w:t>
      </w:r>
      <w:r w:rsidR="001875ED">
        <w:t>ferta y venta de servicios de distribución a clientes</w:t>
      </w:r>
      <w:r w:rsidR="00EB54D0">
        <w:t xml:space="preserve"> y la</w:t>
      </w:r>
      <w:r w:rsidR="001875ED">
        <w:t xml:space="preserve"> </w:t>
      </w:r>
      <w:r w:rsidR="00EB54D0">
        <w:t>c</w:t>
      </w:r>
      <w:r w:rsidR="001875ED">
        <w:t xml:space="preserve">oordinación de servicios de valor agregado a la medida </w:t>
      </w:r>
      <w:r w:rsidR="00EB54D0">
        <w:t>(</w:t>
      </w:r>
      <w:r w:rsidR="001875ED">
        <w:t xml:space="preserve">paletizado, etiquetado, entregas </w:t>
      </w:r>
      <w:proofErr w:type="spellStart"/>
      <w:r w:rsidR="001875ED" w:rsidRPr="005C587D">
        <w:rPr>
          <w:i/>
          <w:iCs/>
        </w:rPr>
        <w:t>just</w:t>
      </w:r>
      <w:proofErr w:type="spellEnd"/>
      <w:r w:rsidR="001875ED" w:rsidRPr="005C587D">
        <w:rPr>
          <w:i/>
          <w:iCs/>
        </w:rPr>
        <w:t xml:space="preserve"> </w:t>
      </w:r>
      <w:proofErr w:type="gramStart"/>
      <w:r w:rsidR="001875ED" w:rsidRPr="005C587D">
        <w:rPr>
          <w:i/>
          <w:iCs/>
        </w:rPr>
        <w:t>in time</w:t>
      </w:r>
      <w:proofErr w:type="gramEnd"/>
      <w:r w:rsidR="00EB54D0">
        <w:t>).</w:t>
      </w:r>
    </w:p>
    <w:p w14:paraId="374F919D" w14:textId="77777777" w:rsidR="00B05EB1" w:rsidRDefault="00B05EB1" w:rsidP="000650B7">
      <w:pPr>
        <w:spacing w:before="120"/>
        <w:jc w:val="both"/>
      </w:pPr>
    </w:p>
    <w:p w14:paraId="7104B1C8" w14:textId="32EC5F7A" w:rsidR="00126AC7" w:rsidRPr="00126AC7" w:rsidRDefault="00126AC7" w:rsidP="00B05EB1">
      <w:pPr>
        <w:spacing w:line="360" w:lineRule="auto"/>
        <w:jc w:val="both"/>
        <w:rPr>
          <w:rFonts w:ascii="Myriad Pro Light" w:eastAsiaTheme="majorEastAsia" w:hAnsi="Myriad Pro Light" w:cstheme="majorBidi"/>
          <w:b/>
          <w:spacing w:val="-10"/>
          <w:kern w:val="28"/>
          <w:sz w:val="28"/>
          <w:szCs w:val="56"/>
        </w:rPr>
      </w:pPr>
      <w:r w:rsidRPr="00126AC7">
        <w:rPr>
          <w:rFonts w:ascii="Myriad Pro Light" w:eastAsiaTheme="majorEastAsia" w:hAnsi="Myriad Pro Light" w:cstheme="majorBidi"/>
          <w:b/>
          <w:spacing w:val="-10"/>
          <w:kern w:val="28"/>
          <w:sz w:val="28"/>
          <w:szCs w:val="56"/>
        </w:rPr>
        <w:t>Distribución</w:t>
      </w:r>
    </w:p>
    <w:p w14:paraId="04939EA7" w14:textId="74AA1804" w:rsidR="00C638EB" w:rsidRDefault="000C5B80" w:rsidP="00B05EB1">
      <w:pPr>
        <w:spacing w:after="120"/>
        <w:jc w:val="both"/>
      </w:pPr>
      <w:r>
        <w:t>La</w:t>
      </w:r>
      <w:r w:rsidR="00283DCB">
        <w:t xml:space="preserve"> distribución </w:t>
      </w:r>
      <w:r w:rsidR="005F21C5">
        <w:t xml:space="preserve">se realiza a través de </w:t>
      </w:r>
      <w:r w:rsidR="006819B0">
        <w:t>una red de 1</w:t>
      </w:r>
      <w:r w:rsidR="00181FF7">
        <w:t>3</w:t>
      </w:r>
      <w:r w:rsidR="006819B0">
        <w:t>4 camiones arrendados</w:t>
      </w:r>
      <w:r w:rsidR="002E7A7E">
        <w:t xml:space="preserve"> a empresas de transporte distribuidas por zona geográfica</w:t>
      </w:r>
      <w:r w:rsidR="00C638EB">
        <w:t xml:space="preserve">, </w:t>
      </w:r>
      <w:r w:rsidR="00741221">
        <w:t>que poseen</w:t>
      </w:r>
      <w:r w:rsidR="00C638EB">
        <w:t xml:space="preserve"> cont</w:t>
      </w:r>
      <w:r w:rsidR="00741221">
        <w:t>r</w:t>
      </w:r>
      <w:r w:rsidR="00C638EB">
        <w:t xml:space="preserve">atos de largo plazo y cláusulas de exclusividad </w:t>
      </w:r>
      <w:r w:rsidR="00741221">
        <w:t>(</w:t>
      </w:r>
      <w:r w:rsidR="00C638EB">
        <w:t xml:space="preserve">que </w:t>
      </w:r>
      <w:r w:rsidR="00130F0A">
        <w:t>restringen</w:t>
      </w:r>
      <w:r w:rsidR="00C638EB">
        <w:t xml:space="preserve"> el transporte de otros productos</w:t>
      </w:r>
      <w:r w:rsidR="00C40F24">
        <w:t>, lo cual</w:t>
      </w:r>
      <w:r w:rsidR="00130F0A">
        <w:t xml:space="preserve"> permite</w:t>
      </w:r>
      <w:r w:rsidR="00C40F24">
        <w:t xml:space="preserve"> entregar mayor seguridad para</w:t>
      </w:r>
      <w:r w:rsidR="00561EF7">
        <w:t xml:space="preserve"> el</w:t>
      </w:r>
      <w:r w:rsidR="00C40F24">
        <w:t xml:space="preserve"> transport</w:t>
      </w:r>
      <w:r w:rsidR="00561EF7">
        <w:t>e de</w:t>
      </w:r>
      <w:r w:rsidR="00C40F24">
        <w:t xml:space="preserve"> los productos </w:t>
      </w:r>
      <w:r w:rsidR="00C40F24" w:rsidRPr="00C40F24">
        <w:rPr>
          <w:b/>
          <w:bCs/>
        </w:rPr>
        <w:t>MK</w:t>
      </w:r>
      <w:r w:rsidR="00C40F24">
        <w:t xml:space="preserve"> que tienden a ser irregulares, frágiles y pesados</w:t>
      </w:r>
      <w:r w:rsidR="00741221">
        <w:t>)</w:t>
      </w:r>
      <w:r w:rsidR="00C40F24">
        <w:t>.</w:t>
      </w:r>
      <w:r w:rsidR="00C50A57" w:rsidRPr="00C50A57">
        <w:t xml:space="preserve"> </w:t>
      </w:r>
      <w:r w:rsidR="00C50A57">
        <w:t xml:space="preserve">Adicionalmente, la compañía controla la planificación y el diseño de rutas, la adherencia y su seguimiento. </w:t>
      </w:r>
    </w:p>
    <w:p w14:paraId="56AF3219" w14:textId="104643C5" w:rsidR="006819B0" w:rsidRDefault="00C638EB" w:rsidP="00B05EB1">
      <w:pPr>
        <w:spacing w:after="120"/>
        <w:jc w:val="both"/>
      </w:pPr>
      <w:r>
        <w:t xml:space="preserve"> </w:t>
      </w:r>
    </w:p>
    <w:p w14:paraId="481A3AA3" w14:textId="41FB1AFF" w:rsidR="00DA0CB9" w:rsidRPr="00BF29B2" w:rsidRDefault="00DA0CB9" w:rsidP="00B05EB1">
      <w:pPr>
        <w:pStyle w:val="Ttulo1"/>
        <w:keepNext w:val="0"/>
        <w:rPr>
          <w:lang w:val="es-ES"/>
        </w:rPr>
      </w:pPr>
      <w:r w:rsidRPr="00BF29B2">
        <w:rPr>
          <w:lang w:val="es-ES"/>
        </w:rPr>
        <w:t xml:space="preserve">Descripción </w:t>
      </w:r>
      <w:r w:rsidR="00B05EB1">
        <w:rPr>
          <w:lang w:val="es-ES"/>
        </w:rPr>
        <w:t>l</w:t>
      </w:r>
      <w:r w:rsidRPr="00BF29B2">
        <w:rPr>
          <w:lang w:val="es-ES"/>
        </w:rPr>
        <w:t xml:space="preserve">íneas de </w:t>
      </w:r>
      <w:r w:rsidR="00B05EB1">
        <w:rPr>
          <w:lang w:val="es-ES"/>
        </w:rPr>
        <w:t>n</w:t>
      </w:r>
      <w:r w:rsidRPr="00BF29B2">
        <w:rPr>
          <w:lang w:val="es-ES"/>
        </w:rPr>
        <w:t>egocio</w:t>
      </w:r>
      <w:r w:rsidR="00BF29B2" w:rsidRPr="00BF29B2">
        <w:rPr>
          <w:lang w:val="es-ES"/>
        </w:rPr>
        <w:t>s</w:t>
      </w:r>
    </w:p>
    <w:p w14:paraId="4FFB8427" w14:textId="2D70AF24" w:rsidR="00960F8C" w:rsidRDefault="00960F8C" w:rsidP="00B05EB1">
      <w:pPr>
        <w:pStyle w:val="Ttulo"/>
        <w:spacing w:after="120" w:line="240" w:lineRule="auto"/>
        <w:contextualSpacing w:val="0"/>
        <w:rPr>
          <w:rFonts w:ascii="Myriad Pro" w:eastAsiaTheme="minorHAnsi" w:hAnsi="Myriad Pro" w:cstheme="minorBidi"/>
          <w:b w:val="0"/>
          <w:spacing w:val="0"/>
          <w:kern w:val="0"/>
          <w:sz w:val="21"/>
          <w:szCs w:val="24"/>
        </w:rPr>
      </w:pPr>
      <w:r w:rsidRPr="00960F8C">
        <w:rPr>
          <w:rFonts w:ascii="Myriad Pro" w:eastAsiaTheme="minorHAnsi" w:hAnsi="Myriad Pro" w:cstheme="minorBidi"/>
          <w:b w:val="0"/>
          <w:spacing w:val="0"/>
          <w:kern w:val="0"/>
          <w:sz w:val="21"/>
          <w:szCs w:val="24"/>
        </w:rPr>
        <w:t xml:space="preserve">Como ya se mencionó anteriormente, los principales negocios de </w:t>
      </w:r>
      <w:r w:rsidRPr="00960F8C">
        <w:rPr>
          <w:rFonts w:ascii="Myriad Pro" w:eastAsiaTheme="minorHAnsi" w:hAnsi="Myriad Pro" w:cstheme="minorBidi"/>
          <w:bCs/>
          <w:spacing w:val="0"/>
          <w:kern w:val="0"/>
          <w:sz w:val="21"/>
          <w:szCs w:val="24"/>
        </w:rPr>
        <w:t xml:space="preserve">MK </w:t>
      </w:r>
      <w:r w:rsidRPr="00960F8C">
        <w:rPr>
          <w:rFonts w:ascii="Myriad Pro" w:eastAsiaTheme="minorHAnsi" w:hAnsi="Myriad Pro" w:cstheme="minorBidi"/>
          <w:b w:val="0"/>
          <w:spacing w:val="0"/>
          <w:kern w:val="0"/>
          <w:sz w:val="21"/>
          <w:szCs w:val="24"/>
        </w:rPr>
        <w:t>se agrupan en los segmentos</w:t>
      </w:r>
      <w:r>
        <w:rPr>
          <w:rFonts w:ascii="Myriad Pro" w:eastAsiaTheme="minorHAnsi" w:hAnsi="Myriad Pro" w:cstheme="minorBidi"/>
          <w:b w:val="0"/>
          <w:spacing w:val="0"/>
          <w:kern w:val="0"/>
          <w:sz w:val="21"/>
          <w:szCs w:val="24"/>
        </w:rPr>
        <w:t xml:space="preserve"> </w:t>
      </w:r>
      <w:r w:rsidR="002C3762">
        <w:rPr>
          <w:rFonts w:ascii="Myriad Pro" w:eastAsiaTheme="minorHAnsi" w:hAnsi="Myriad Pro" w:cstheme="minorBidi"/>
          <w:b w:val="0"/>
          <w:spacing w:val="0"/>
          <w:kern w:val="0"/>
          <w:sz w:val="21"/>
          <w:szCs w:val="24"/>
        </w:rPr>
        <w:t>Proyectos</w:t>
      </w:r>
      <w:r w:rsidRPr="00960F8C">
        <w:rPr>
          <w:rFonts w:ascii="Myriad Pro" w:eastAsiaTheme="minorHAnsi" w:hAnsi="Myriad Pro" w:cstheme="minorBidi"/>
          <w:b w:val="0"/>
          <w:spacing w:val="0"/>
          <w:kern w:val="0"/>
          <w:sz w:val="21"/>
          <w:szCs w:val="24"/>
        </w:rPr>
        <w:t>,</w:t>
      </w:r>
      <w:r w:rsidR="002C3762">
        <w:rPr>
          <w:rFonts w:ascii="Myriad Pro" w:eastAsiaTheme="minorHAnsi" w:hAnsi="Myriad Pro" w:cstheme="minorBidi"/>
          <w:b w:val="0"/>
          <w:spacing w:val="0"/>
          <w:kern w:val="0"/>
          <w:sz w:val="21"/>
          <w:szCs w:val="24"/>
        </w:rPr>
        <w:t xml:space="preserve"> </w:t>
      </w:r>
      <w:proofErr w:type="spellStart"/>
      <w:r w:rsidR="002C3762" w:rsidRPr="002C3762">
        <w:rPr>
          <w:rFonts w:ascii="Myriad Pro" w:eastAsiaTheme="minorHAnsi" w:hAnsi="Myriad Pro" w:cstheme="minorBidi"/>
          <w:b w:val="0"/>
          <w:i/>
          <w:iCs/>
          <w:spacing w:val="0"/>
          <w:kern w:val="0"/>
          <w:sz w:val="21"/>
          <w:szCs w:val="24"/>
        </w:rPr>
        <w:t>Retail</w:t>
      </w:r>
      <w:proofErr w:type="spellEnd"/>
      <w:r w:rsidR="002C3762" w:rsidRPr="002C3762">
        <w:rPr>
          <w:rFonts w:ascii="Myriad Pro" w:eastAsiaTheme="minorHAnsi" w:hAnsi="Myriad Pro" w:cstheme="minorBidi"/>
          <w:b w:val="0"/>
          <w:i/>
          <w:iCs/>
          <w:spacing w:val="0"/>
          <w:kern w:val="0"/>
          <w:sz w:val="21"/>
          <w:szCs w:val="24"/>
        </w:rPr>
        <w:t xml:space="preserve"> </w:t>
      </w:r>
      <w:r w:rsidR="002C3762">
        <w:rPr>
          <w:rFonts w:ascii="Myriad Pro" w:eastAsiaTheme="minorHAnsi" w:hAnsi="Myriad Pro" w:cstheme="minorBidi"/>
          <w:b w:val="0"/>
          <w:spacing w:val="0"/>
          <w:kern w:val="0"/>
          <w:sz w:val="21"/>
          <w:szCs w:val="24"/>
        </w:rPr>
        <w:t>y Distribución</w:t>
      </w:r>
      <w:r w:rsidRPr="00960F8C">
        <w:rPr>
          <w:rFonts w:ascii="Myriad Pro" w:eastAsiaTheme="minorHAnsi" w:hAnsi="Myriad Pro" w:cstheme="minorBidi"/>
          <w:b w:val="0"/>
          <w:spacing w:val="0"/>
          <w:kern w:val="0"/>
          <w:sz w:val="21"/>
          <w:szCs w:val="24"/>
        </w:rPr>
        <w:t>.</w:t>
      </w:r>
    </w:p>
    <w:p w14:paraId="56FBB4B2" w14:textId="77777777" w:rsidR="00B05EB1" w:rsidRPr="00B05EB1" w:rsidRDefault="00B05EB1" w:rsidP="00B05EB1"/>
    <w:p w14:paraId="069978B0" w14:textId="2BA932EB" w:rsidR="00BF29B2" w:rsidRPr="000528DB" w:rsidRDefault="00BF29B2" w:rsidP="00B05EB1">
      <w:pPr>
        <w:pStyle w:val="Ttulo"/>
        <w:contextualSpacing w:val="0"/>
      </w:pPr>
      <w:r>
        <w:t>Proyectos</w:t>
      </w:r>
    </w:p>
    <w:p w14:paraId="05A0CD11" w14:textId="28463ABE" w:rsidR="00312640" w:rsidRDefault="001945E2" w:rsidP="00B05EB1">
      <w:pPr>
        <w:spacing w:after="120"/>
        <w:jc w:val="both"/>
      </w:pPr>
      <w:r>
        <w:t xml:space="preserve">El segmento de Proyectos comprende </w:t>
      </w:r>
      <w:r w:rsidR="003145EA">
        <w:t>v</w:t>
      </w:r>
      <w:r w:rsidR="003145EA" w:rsidRPr="003145EA">
        <w:t>entas a inmobiliarias</w:t>
      </w:r>
      <w:r w:rsidR="003145EA">
        <w:t xml:space="preserve"> (</w:t>
      </w:r>
      <w:r w:rsidR="003145EA" w:rsidRPr="003145EA">
        <w:t>desde segmento subsidio hasta segmento lujo</w:t>
      </w:r>
      <w:r w:rsidR="003145EA">
        <w:t>), v</w:t>
      </w:r>
      <w:r w:rsidR="003145EA" w:rsidRPr="003145EA">
        <w:t xml:space="preserve">entas a obras públicas </w:t>
      </w:r>
      <w:r w:rsidR="003145EA">
        <w:t>(a</w:t>
      </w:r>
      <w:r w:rsidR="003145EA" w:rsidRPr="003145EA">
        <w:t>eropuertos, hospitales, municipios, jardines, Junji, juzgados, entre otros</w:t>
      </w:r>
      <w:r w:rsidR="003145EA">
        <w:t>)</w:t>
      </w:r>
      <w:r w:rsidR="00443A2D">
        <w:t xml:space="preserve"> y v</w:t>
      </w:r>
      <w:r w:rsidR="003145EA" w:rsidRPr="003145EA">
        <w:t>entas a mandantes corporativos</w:t>
      </w:r>
      <w:r w:rsidR="00443A2D">
        <w:t xml:space="preserve"> (c</w:t>
      </w:r>
      <w:r w:rsidR="003145EA" w:rsidRPr="003145EA">
        <w:t xml:space="preserve">entros comerciales, cadenas de </w:t>
      </w:r>
      <w:proofErr w:type="spellStart"/>
      <w:r w:rsidR="003145EA" w:rsidRPr="00443A2D">
        <w:rPr>
          <w:i/>
          <w:iCs/>
        </w:rPr>
        <w:t>retail</w:t>
      </w:r>
      <w:proofErr w:type="spellEnd"/>
      <w:r w:rsidR="003145EA" w:rsidRPr="003145EA">
        <w:t>, farmacias, automotoras, hotelería y minería</w:t>
      </w:r>
      <w:r w:rsidR="00443A2D">
        <w:t>)</w:t>
      </w:r>
      <w:r w:rsidR="003145EA" w:rsidRPr="003145EA">
        <w:t>.</w:t>
      </w:r>
    </w:p>
    <w:p w14:paraId="1C54E055" w14:textId="1FE47AE8" w:rsidR="00DA165F" w:rsidRDefault="00DA165F" w:rsidP="00B05EB1">
      <w:pPr>
        <w:spacing w:after="120"/>
        <w:jc w:val="both"/>
      </w:pPr>
      <w:r>
        <w:t>En el área de proyectos</w:t>
      </w:r>
      <w:r w:rsidR="006E7820">
        <w:t>,</w:t>
      </w:r>
      <w:r w:rsidR="009E3D2B">
        <w:t xml:space="preserve"> </w:t>
      </w:r>
      <w:r w:rsidR="00245DC8" w:rsidRPr="00245DC8">
        <w:t>la</w:t>
      </w:r>
      <w:r w:rsidR="006E7820">
        <w:t xml:space="preserve"> firma</w:t>
      </w:r>
      <w:r>
        <w:t xml:space="preserve"> cuenta con equipo de </w:t>
      </w:r>
      <w:r w:rsidR="004553B4">
        <w:t>más de 100</w:t>
      </w:r>
      <w:r>
        <w:t xml:space="preserve"> personas que atienden a constructoras,</w:t>
      </w:r>
      <w:r w:rsidR="004553B4">
        <w:t xml:space="preserve"> y </w:t>
      </w:r>
      <w:r>
        <w:t xml:space="preserve">40 especificadores, que son arquitectos que </w:t>
      </w:r>
      <w:r w:rsidR="004553B4">
        <w:t xml:space="preserve">visitan </w:t>
      </w:r>
      <w:r>
        <w:t xml:space="preserve">a los mandantes </w:t>
      </w:r>
      <w:r w:rsidR="00101EE5">
        <w:t>p</w:t>
      </w:r>
      <w:r>
        <w:t xml:space="preserve">ara </w:t>
      </w:r>
      <w:r w:rsidR="00101EE5">
        <w:t>ofrecer soluciones</w:t>
      </w:r>
      <w:r>
        <w:t xml:space="preserve"> con los productos</w:t>
      </w:r>
      <w:r w:rsidR="00245DC8">
        <w:t xml:space="preserve"> </w:t>
      </w:r>
      <w:r w:rsidR="00245DC8" w:rsidRPr="00245DC8">
        <w:rPr>
          <w:b/>
          <w:bCs/>
        </w:rPr>
        <w:t>MK</w:t>
      </w:r>
      <w:r>
        <w:t xml:space="preserve">. </w:t>
      </w:r>
    </w:p>
    <w:p w14:paraId="74FBFE5F" w14:textId="77777777" w:rsidR="00D00AFF" w:rsidRDefault="00D00AFF" w:rsidP="00B05EB1">
      <w:pPr>
        <w:pStyle w:val="Ttulo"/>
        <w:spacing w:after="120" w:line="240" w:lineRule="auto"/>
        <w:rPr>
          <w:lang w:val="es-ES"/>
        </w:rPr>
      </w:pPr>
    </w:p>
    <w:p w14:paraId="12295DDC" w14:textId="62531AE3" w:rsidR="00BD7D7B" w:rsidRPr="00B05EB1" w:rsidRDefault="00BD7D7B" w:rsidP="00B05EB1">
      <w:pPr>
        <w:pStyle w:val="Ttulo"/>
        <w:rPr>
          <w:sz w:val="24"/>
          <w:szCs w:val="24"/>
          <w:lang w:val="es-ES"/>
        </w:rPr>
      </w:pPr>
      <w:r w:rsidRPr="00B05EB1">
        <w:rPr>
          <w:sz w:val="24"/>
          <w:szCs w:val="24"/>
          <w:lang w:val="es-ES"/>
        </w:rPr>
        <w:t>Evolución de ingresos y EBITDA</w:t>
      </w:r>
    </w:p>
    <w:p w14:paraId="712FE0FE" w14:textId="75D636EC" w:rsidR="00B53D0E" w:rsidRDefault="001F6B26" w:rsidP="00B05EB1">
      <w:pPr>
        <w:spacing w:after="120"/>
        <w:jc w:val="both"/>
        <w:rPr>
          <w:highlight w:val="yellow"/>
        </w:rPr>
      </w:pPr>
      <w:r w:rsidRPr="002B12E6">
        <w:t xml:space="preserve">Proyectos representó aproximadamente el </w:t>
      </w:r>
      <w:r w:rsidR="0030592D" w:rsidRPr="002B12E6">
        <w:t>44,8%</w:t>
      </w:r>
      <w:r w:rsidRPr="002B12E6">
        <w:t xml:space="preserve"> de los ingresos totales de la compañía en el año 2020 (</w:t>
      </w:r>
      <w:r w:rsidR="002B12E6" w:rsidRPr="002B12E6">
        <w:t>56,7%</w:t>
      </w:r>
      <w:r w:rsidRPr="002B12E6">
        <w:t xml:space="preserve"> en 2019), </w:t>
      </w:r>
      <w:r w:rsidRPr="004B64BD">
        <w:t xml:space="preserve">generando $ </w:t>
      </w:r>
      <w:r w:rsidR="002061A3" w:rsidRPr="004B64BD">
        <w:t xml:space="preserve">40.118 </w:t>
      </w:r>
      <w:r w:rsidRPr="004B64BD">
        <w:t>millones</w:t>
      </w:r>
      <w:r w:rsidR="000C63F1" w:rsidRPr="004B64BD">
        <w:t xml:space="preserve">, lo que representó una baja de </w:t>
      </w:r>
      <w:r w:rsidR="004B64BD" w:rsidRPr="004B64BD">
        <w:t>18,9%</w:t>
      </w:r>
      <w:r w:rsidR="000C63F1" w:rsidRPr="004B64BD">
        <w:t xml:space="preserve"> c</w:t>
      </w:r>
      <w:r w:rsidR="000C63F1" w:rsidRPr="00D157C3">
        <w:t>on respecto a 2019</w:t>
      </w:r>
      <w:r w:rsidR="00B53D0E">
        <w:t>. Lo anterior se explica en parte por</w:t>
      </w:r>
      <w:r w:rsidR="000B0FFF">
        <w:t xml:space="preserve"> la</w:t>
      </w:r>
      <w:r w:rsidR="003D0629" w:rsidRPr="00D157C3">
        <w:t xml:space="preserve"> </w:t>
      </w:r>
      <w:r w:rsidR="00B53D0E">
        <w:t>contracción de</w:t>
      </w:r>
      <w:r w:rsidR="002A7C19" w:rsidRPr="00D157C3">
        <w:t xml:space="preserve"> </w:t>
      </w:r>
      <w:r w:rsidR="00D157C3" w:rsidRPr="00D157C3">
        <w:t>la actividad en el sector inmobiliario</w:t>
      </w:r>
      <w:r w:rsidR="00B53D0E">
        <w:t xml:space="preserve"> a causa de la crisis sanitaria</w:t>
      </w:r>
      <w:r w:rsidR="00D157C3" w:rsidRPr="00D157C3">
        <w:t>.</w:t>
      </w:r>
      <w:r w:rsidR="002A7C19" w:rsidRPr="00D157C3">
        <w:t xml:space="preserve"> </w:t>
      </w:r>
    </w:p>
    <w:p w14:paraId="03C6EFFC" w14:textId="6CEA1431" w:rsidR="00D00AFF" w:rsidRDefault="00B53D0E" w:rsidP="00B05EB1">
      <w:pPr>
        <w:spacing w:after="120"/>
        <w:jc w:val="both"/>
        <w:rPr>
          <w:highlight w:val="yellow"/>
        </w:rPr>
      </w:pPr>
      <w:r w:rsidRPr="00B53D0E">
        <w:t>E</w:t>
      </w:r>
      <w:r w:rsidR="001F6B26" w:rsidRPr="00B53D0E">
        <w:t xml:space="preserve">l EBITDA alcanzó un valor de </w:t>
      </w:r>
      <w:r w:rsidR="001F6B26" w:rsidRPr="007E03E7">
        <w:t>$</w:t>
      </w:r>
      <w:r w:rsidR="007E03E7" w:rsidRPr="007E03E7">
        <w:t xml:space="preserve"> 2.717 </w:t>
      </w:r>
      <w:r w:rsidR="001F6B26" w:rsidRPr="007E03E7">
        <w:t xml:space="preserve">millones en </w:t>
      </w:r>
      <w:r w:rsidR="001F6B26" w:rsidRPr="00B22A87">
        <w:t xml:space="preserve">2020 ($ </w:t>
      </w:r>
      <w:r w:rsidR="00B22A87" w:rsidRPr="00B22A87">
        <w:t xml:space="preserve">2.812 </w:t>
      </w:r>
      <w:r w:rsidR="001F6B26" w:rsidRPr="00B22A87">
        <w:t>millones en 2019</w:t>
      </w:r>
      <w:r w:rsidR="001F6B26" w:rsidRPr="00C13D82">
        <w:t xml:space="preserve">), mostrando una </w:t>
      </w:r>
      <w:r w:rsidR="00B22A87" w:rsidRPr="00C13D82">
        <w:t>baja de 3,4%</w:t>
      </w:r>
      <w:r w:rsidR="009510EA" w:rsidRPr="00C13D82">
        <w:t xml:space="preserve"> respecto al ejercicio anterior. </w:t>
      </w:r>
    </w:p>
    <w:p w14:paraId="650614D4" w14:textId="51DD7F4C" w:rsidR="00AA24E8" w:rsidRPr="00B6126B" w:rsidRDefault="00453058" w:rsidP="00B05EB1">
      <w:pPr>
        <w:spacing w:after="120"/>
        <w:jc w:val="both"/>
      </w:pPr>
      <w:r w:rsidRPr="00B6126B">
        <w:t>El margen EBITDA alcanzó</w:t>
      </w:r>
      <w:r w:rsidR="00FD4BBE" w:rsidRPr="00B6126B">
        <w:t xml:space="preserve"> un</w:t>
      </w:r>
      <w:r w:rsidRPr="00B6126B">
        <w:t xml:space="preserve"> 6,8% en 2020</w:t>
      </w:r>
      <w:r w:rsidR="007F334D" w:rsidRPr="00B6126B">
        <w:t>, lo que representó un</w:t>
      </w:r>
      <w:r w:rsidR="007E0B2B" w:rsidRPr="00B6126B">
        <w:t xml:space="preserve"> </w:t>
      </w:r>
      <w:r w:rsidR="00A32210">
        <w:t>alza</w:t>
      </w:r>
      <w:r w:rsidR="008E452F">
        <w:t xml:space="preserve"> de 1,1 puntos porcentuales</w:t>
      </w:r>
      <w:r w:rsidR="007E0B2B" w:rsidRPr="00B6126B">
        <w:t xml:space="preserve"> </w:t>
      </w:r>
      <w:r w:rsidR="00A32210">
        <w:t>con</w:t>
      </w:r>
      <w:r w:rsidR="00B6126B" w:rsidRPr="00B6126B">
        <w:t xml:space="preserve"> respecto </w:t>
      </w:r>
      <w:proofErr w:type="gramStart"/>
      <w:r w:rsidR="00B6126B" w:rsidRPr="00B6126B">
        <w:t xml:space="preserve">al </w:t>
      </w:r>
      <w:r w:rsidR="00A32210">
        <w:t xml:space="preserve"> 5</w:t>
      </w:r>
      <w:proofErr w:type="gramEnd"/>
      <w:r w:rsidR="00A32210">
        <w:t xml:space="preserve">,7% </w:t>
      </w:r>
      <w:r w:rsidR="008E452F">
        <w:t>d</w:t>
      </w:r>
      <w:r w:rsidR="00A32210">
        <w:t xml:space="preserve">el </w:t>
      </w:r>
      <w:r w:rsidR="00B6126B" w:rsidRPr="00B6126B">
        <w:t>mismo periodo anterior</w:t>
      </w:r>
      <w:r w:rsidR="00A32210">
        <w:t>.</w:t>
      </w:r>
      <w:r w:rsidR="00FD4BBE" w:rsidRPr="00B6126B">
        <w:t xml:space="preserve"> </w:t>
      </w:r>
    </w:p>
    <w:p w14:paraId="6E8F9BD3" w14:textId="77777777" w:rsidR="00A307C6" w:rsidRDefault="009D3043" w:rsidP="00A307C6">
      <w:pPr>
        <w:keepNext/>
        <w:jc w:val="center"/>
      </w:pPr>
      <w:r>
        <w:rPr>
          <w:noProof/>
        </w:rPr>
        <w:lastRenderedPageBreak/>
        <w:drawing>
          <wp:inline distT="0" distB="0" distL="0" distR="0" wp14:anchorId="67B74F44" wp14:editId="4D805A07">
            <wp:extent cx="5040000" cy="2160000"/>
            <wp:effectExtent l="0" t="0" r="8255" b="0"/>
            <wp:docPr id="75" name="Gráfico 75">
              <a:extLst xmlns:a="http://schemas.openxmlformats.org/drawingml/2006/main">
                <a:ext uri="{FF2B5EF4-FFF2-40B4-BE49-F238E27FC236}">
                  <a16:creationId xmlns:a16="http://schemas.microsoft.com/office/drawing/2014/main" id="{54303C20-4FFA-48E3-8E5C-D8557096C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0A9CAC" w14:textId="033DAC12" w:rsidR="00BD7D7B" w:rsidRDefault="00A307C6" w:rsidP="00A307C6">
      <w:pPr>
        <w:pStyle w:val="Descripcin"/>
      </w:pPr>
      <w:r>
        <w:t xml:space="preserve">Ilustración </w:t>
      </w:r>
      <w:r w:rsidR="000179F4">
        <w:fldChar w:fldCharType="begin"/>
      </w:r>
      <w:r w:rsidR="000179F4">
        <w:instrText xml:space="preserve"> SEQ Ilustración \* ARABIC </w:instrText>
      </w:r>
      <w:r w:rsidR="000179F4">
        <w:fldChar w:fldCharType="separate"/>
      </w:r>
      <w:r w:rsidR="000179F4">
        <w:rPr>
          <w:noProof/>
        </w:rPr>
        <w:t>3</w:t>
      </w:r>
      <w:r w:rsidR="000179F4">
        <w:rPr>
          <w:noProof/>
        </w:rPr>
        <w:fldChar w:fldCharType="end"/>
      </w:r>
      <w:r>
        <w:t xml:space="preserve">: </w:t>
      </w:r>
      <w:r w:rsidRPr="002130BD">
        <w:t xml:space="preserve">Evolución Ingresos, Margen EBITDA y EBITDA </w:t>
      </w:r>
      <w:r>
        <w:t>Proyectos (2017-2020)</w:t>
      </w:r>
    </w:p>
    <w:p w14:paraId="20573B08" w14:textId="77777777" w:rsidR="00B05EB1" w:rsidRPr="00B05EB1" w:rsidRDefault="00B05EB1" w:rsidP="00B05EB1"/>
    <w:p w14:paraId="17B9DACD" w14:textId="505D63A9" w:rsidR="00BF29B2" w:rsidRPr="00BF29B2" w:rsidRDefault="00BF29B2" w:rsidP="00B05EB1">
      <w:pPr>
        <w:pStyle w:val="Ttulo"/>
        <w:contextualSpacing w:val="0"/>
        <w:rPr>
          <w:i/>
          <w:iCs/>
        </w:rPr>
      </w:pPr>
      <w:proofErr w:type="spellStart"/>
      <w:r w:rsidRPr="00BF29B2">
        <w:rPr>
          <w:i/>
          <w:iCs/>
        </w:rPr>
        <w:t>Retail</w:t>
      </w:r>
      <w:proofErr w:type="spellEnd"/>
    </w:p>
    <w:p w14:paraId="6C5B07EB" w14:textId="3346DC79" w:rsidR="00E053EF" w:rsidRDefault="00413143" w:rsidP="00B05EB1">
      <w:pPr>
        <w:keepNext/>
        <w:spacing w:after="120"/>
        <w:jc w:val="both"/>
      </w:pPr>
      <w:r>
        <w:t xml:space="preserve">El segmento </w:t>
      </w:r>
      <w:proofErr w:type="spellStart"/>
      <w:r w:rsidR="0049572E" w:rsidRPr="0049572E">
        <w:rPr>
          <w:i/>
          <w:iCs/>
        </w:rPr>
        <w:t>Retail</w:t>
      </w:r>
      <w:proofErr w:type="spellEnd"/>
      <w:r>
        <w:t xml:space="preserve"> se dedica a</w:t>
      </w:r>
      <w:r w:rsidR="00ED7047">
        <w:t xml:space="preserve"> la v</w:t>
      </w:r>
      <w:r w:rsidR="00ED7047" w:rsidRPr="00ED7047">
        <w:t xml:space="preserve">enta a clientes particulares a través de la cadena de tiendas propias </w:t>
      </w:r>
      <w:r w:rsidR="00C02EDC">
        <w:t>(</w:t>
      </w:r>
      <w:r w:rsidR="00ED7047" w:rsidRPr="00ED7047">
        <w:t>M</w:t>
      </w:r>
      <w:r w:rsidR="00C02EDC">
        <w:t>K y MKO)</w:t>
      </w:r>
      <w:r w:rsidR="00ED7047" w:rsidRPr="00ED7047">
        <w:t>.</w:t>
      </w:r>
      <w:r w:rsidR="00DA0E1E">
        <w:t xml:space="preserve"> </w:t>
      </w:r>
      <w:r w:rsidR="009C7E89">
        <w:t>Para esto, l</w:t>
      </w:r>
      <w:r w:rsidR="00DA0E1E">
        <w:t xml:space="preserve">a compañía cuenta con </w:t>
      </w:r>
      <w:r w:rsidR="00321A1B">
        <w:t xml:space="preserve">17 tiendas </w:t>
      </w:r>
      <w:r w:rsidR="00DA0E1E">
        <w:t>con equipos de venta especializados para</w:t>
      </w:r>
      <w:r w:rsidR="009C7E89">
        <w:t xml:space="preserve"> ofrecer soluciones específicas </w:t>
      </w:r>
      <w:proofErr w:type="gramStart"/>
      <w:r w:rsidR="009C7E89">
        <w:t>de acuerdo a</w:t>
      </w:r>
      <w:proofErr w:type="gramEnd"/>
      <w:r w:rsidR="009C7E89">
        <w:t xml:space="preserve"> las necesidades del </w:t>
      </w:r>
      <w:r w:rsidR="009452EE">
        <w:t>cliente</w:t>
      </w:r>
      <w:r w:rsidR="00321A1B">
        <w:t xml:space="preserve">. </w:t>
      </w:r>
    </w:p>
    <w:p w14:paraId="08E89F5E" w14:textId="77777777" w:rsidR="009452EE" w:rsidRDefault="009452EE" w:rsidP="00B05EB1">
      <w:pPr>
        <w:pStyle w:val="Ttulo"/>
        <w:spacing w:after="120" w:line="240" w:lineRule="auto"/>
        <w:rPr>
          <w:lang w:val="es-ES"/>
        </w:rPr>
      </w:pPr>
    </w:p>
    <w:p w14:paraId="232F83D3" w14:textId="072DF3A4" w:rsidR="000271C6" w:rsidRPr="00B05EB1" w:rsidRDefault="000271C6" w:rsidP="00B05EB1">
      <w:pPr>
        <w:pStyle w:val="Ttulo"/>
        <w:spacing w:after="120" w:line="240" w:lineRule="auto"/>
        <w:rPr>
          <w:sz w:val="24"/>
          <w:szCs w:val="24"/>
          <w:lang w:val="es-ES"/>
        </w:rPr>
      </w:pPr>
      <w:r w:rsidRPr="00B05EB1">
        <w:rPr>
          <w:sz w:val="24"/>
          <w:szCs w:val="24"/>
          <w:lang w:val="es-ES"/>
        </w:rPr>
        <w:t>Evolución de ingresos y EBITDA</w:t>
      </w:r>
    </w:p>
    <w:p w14:paraId="0114B0EE" w14:textId="5B559793" w:rsidR="001420EB" w:rsidRDefault="00413143" w:rsidP="00B05EB1">
      <w:pPr>
        <w:spacing w:after="120"/>
        <w:jc w:val="both"/>
      </w:pPr>
      <w:r w:rsidRPr="000540F4">
        <w:t xml:space="preserve">El </w:t>
      </w:r>
      <w:r w:rsidRPr="001420EB">
        <w:t xml:space="preserve">segmento </w:t>
      </w:r>
      <w:proofErr w:type="spellStart"/>
      <w:proofErr w:type="gramStart"/>
      <w:r w:rsidR="009C7E89" w:rsidRPr="001420EB">
        <w:rPr>
          <w:i/>
          <w:iCs/>
        </w:rPr>
        <w:t>Retail</w:t>
      </w:r>
      <w:proofErr w:type="spellEnd"/>
      <w:r w:rsidRPr="001420EB">
        <w:t xml:space="preserve"> </w:t>
      </w:r>
      <w:r w:rsidR="009452EE" w:rsidRPr="001420EB">
        <w:t xml:space="preserve"> representó</w:t>
      </w:r>
      <w:proofErr w:type="gramEnd"/>
      <w:r w:rsidR="009452EE" w:rsidRPr="001420EB">
        <w:t xml:space="preserve"> aproximadamente el </w:t>
      </w:r>
      <w:r w:rsidR="00A11E1E" w:rsidRPr="001420EB">
        <w:t>38</w:t>
      </w:r>
      <w:r w:rsidR="009452EE" w:rsidRPr="001420EB">
        <w:t>,</w:t>
      </w:r>
      <w:r w:rsidR="00A11E1E" w:rsidRPr="001420EB">
        <w:t>1</w:t>
      </w:r>
      <w:r w:rsidR="009452EE" w:rsidRPr="001420EB">
        <w:t>% de los ingresos totales de la compañía en el año 2020 (</w:t>
      </w:r>
      <w:r w:rsidR="00A11E1E" w:rsidRPr="001420EB">
        <w:t>33</w:t>
      </w:r>
      <w:r w:rsidR="009452EE" w:rsidRPr="001420EB">
        <w:t xml:space="preserve">% en 2019), generando $ </w:t>
      </w:r>
      <w:r w:rsidR="00C33E5C" w:rsidRPr="001420EB">
        <w:t>34.154</w:t>
      </w:r>
      <w:r w:rsidR="009452EE" w:rsidRPr="001420EB">
        <w:t xml:space="preserve"> millones, lo que </w:t>
      </w:r>
      <w:r w:rsidR="000A40A6">
        <w:t>significó</w:t>
      </w:r>
      <w:r w:rsidR="00710260">
        <w:t xml:space="preserve"> </w:t>
      </w:r>
      <w:r w:rsidR="006F4C8B" w:rsidRPr="001420EB">
        <w:t xml:space="preserve">un alza de 18,8% </w:t>
      </w:r>
      <w:r w:rsidR="009452EE" w:rsidRPr="001420EB">
        <w:t>con respecto a 2019. Lo anterior se explica</w:t>
      </w:r>
      <w:r w:rsidR="00710260">
        <w:t>,</w:t>
      </w:r>
      <w:r w:rsidR="009452EE" w:rsidRPr="001420EB">
        <w:t xml:space="preserve"> </w:t>
      </w:r>
      <w:r w:rsidR="001420EB">
        <w:t>en parte</w:t>
      </w:r>
      <w:r w:rsidR="00710260">
        <w:t>,</w:t>
      </w:r>
      <w:r w:rsidR="001420EB">
        <w:t xml:space="preserve"> </w:t>
      </w:r>
      <w:r w:rsidR="00BB2723" w:rsidRPr="001420EB">
        <w:t xml:space="preserve">por la revalorización que tomó el hogar </w:t>
      </w:r>
      <w:r w:rsidR="00710260">
        <w:t xml:space="preserve">producto </w:t>
      </w:r>
      <w:proofErr w:type="gramStart"/>
      <w:r w:rsidR="00710260">
        <w:t xml:space="preserve">de </w:t>
      </w:r>
      <w:r w:rsidR="00BB2723" w:rsidRPr="001420EB">
        <w:t xml:space="preserve"> la</w:t>
      </w:r>
      <w:proofErr w:type="gramEnd"/>
      <w:r w:rsidR="00BB2723" w:rsidRPr="001420EB">
        <w:t xml:space="preserve"> pandemia, </w:t>
      </w:r>
      <w:r w:rsidR="001420EB" w:rsidRPr="001420EB">
        <w:t>junto con los planes de liquidez del gobierno que impulsó la demanda por los bienes de mejoramiento del hogar.</w:t>
      </w:r>
    </w:p>
    <w:p w14:paraId="1A544AE4" w14:textId="0E4DC76D" w:rsidR="009452EE" w:rsidRPr="008230F5" w:rsidRDefault="009452EE" w:rsidP="00B05EB1">
      <w:pPr>
        <w:spacing w:after="120"/>
        <w:jc w:val="both"/>
      </w:pPr>
      <w:r w:rsidRPr="008230F5">
        <w:t xml:space="preserve">El EBITDA alcanzó un valor de $ </w:t>
      </w:r>
      <w:r w:rsidR="00BE6922" w:rsidRPr="008230F5">
        <w:t xml:space="preserve">5.068 </w:t>
      </w:r>
      <w:r w:rsidRPr="008230F5">
        <w:t xml:space="preserve">millones en 2020 ($ </w:t>
      </w:r>
      <w:r w:rsidR="005F22BE" w:rsidRPr="008230F5">
        <w:t xml:space="preserve">3.464 </w:t>
      </w:r>
      <w:r w:rsidRPr="008230F5">
        <w:t>millones en 2019), mostrando un</w:t>
      </w:r>
      <w:r w:rsidR="00D07486">
        <w:t xml:space="preserve"> alza</w:t>
      </w:r>
      <w:r w:rsidRPr="008230F5">
        <w:t xml:space="preserve"> de 4</w:t>
      </w:r>
      <w:r w:rsidR="008230F5" w:rsidRPr="008230F5">
        <w:t>6,3</w:t>
      </w:r>
      <w:r w:rsidRPr="008230F5">
        <w:t xml:space="preserve">% respecto al ejercicio anterior.  </w:t>
      </w:r>
    </w:p>
    <w:p w14:paraId="2730C70F" w14:textId="70ABA314" w:rsidR="009452EE" w:rsidRDefault="009452EE" w:rsidP="00B05EB1">
      <w:pPr>
        <w:spacing w:after="120"/>
        <w:jc w:val="both"/>
      </w:pPr>
      <w:r w:rsidRPr="00E47CF6">
        <w:t xml:space="preserve">El margen EBITDA alcanzó un </w:t>
      </w:r>
      <w:r w:rsidR="008230F5" w:rsidRPr="00E47CF6">
        <w:t>14</w:t>
      </w:r>
      <w:r w:rsidRPr="00E47CF6">
        <w:t xml:space="preserve">,8% en 2020, lo que representó un alza de </w:t>
      </w:r>
      <w:r w:rsidR="008E6F5F" w:rsidRPr="00E47CF6">
        <w:t>2</w:t>
      </w:r>
      <w:r w:rsidRPr="00E47CF6">
        <w:t>,</w:t>
      </w:r>
      <w:r w:rsidR="008E6F5F" w:rsidRPr="00E47CF6">
        <w:t>8</w:t>
      </w:r>
      <w:r w:rsidRPr="00E47CF6">
        <w:t xml:space="preserve"> puntos porcentuales con respecto </w:t>
      </w:r>
      <w:proofErr w:type="gramStart"/>
      <w:r w:rsidRPr="00E47CF6">
        <w:t xml:space="preserve">al  </w:t>
      </w:r>
      <w:r w:rsidR="008E6F5F" w:rsidRPr="00E47CF6">
        <w:t>12</w:t>
      </w:r>
      <w:proofErr w:type="gramEnd"/>
      <w:r w:rsidRPr="00E47CF6">
        <w:t>% del mismo periodo anterior.</w:t>
      </w:r>
      <w:r w:rsidRPr="00B6126B">
        <w:t xml:space="preserve"> </w:t>
      </w:r>
    </w:p>
    <w:p w14:paraId="5EBE5092" w14:textId="77777777" w:rsidR="00A307C6" w:rsidRDefault="00FF2D41" w:rsidP="00A307C6">
      <w:pPr>
        <w:keepNext/>
        <w:spacing w:before="240"/>
        <w:jc w:val="center"/>
      </w:pPr>
      <w:r>
        <w:rPr>
          <w:noProof/>
        </w:rPr>
        <w:lastRenderedPageBreak/>
        <w:drawing>
          <wp:inline distT="0" distB="0" distL="0" distR="0" wp14:anchorId="38F71119" wp14:editId="1447A084">
            <wp:extent cx="5040000" cy="2160000"/>
            <wp:effectExtent l="0" t="0" r="8255" b="0"/>
            <wp:docPr id="76" name="Gráfico 76">
              <a:extLst xmlns:a="http://schemas.openxmlformats.org/drawingml/2006/main">
                <a:ext uri="{FF2B5EF4-FFF2-40B4-BE49-F238E27FC236}">
                  <a16:creationId xmlns:a16="http://schemas.microsoft.com/office/drawing/2014/main" id="{136EB1AD-FC9E-4A9A-B059-C15E2FDED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898D8A" w14:textId="35373ECE" w:rsidR="00831682" w:rsidRDefault="00A307C6" w:rsidP="00BB03E2">
      <w:pPr>
        <w:pStyle w:val="Descripcin"/>
      </w:pPr>
      <w:r>
        <w:t xml:space="preserve">Ilustración </w:t>
      </w:r>
      <w:r w:rsidR="000179F4">
        <w:fldChar w:fldCharType="begin"/>
      </w:r>
      <w:r w:rsidR="000179F4">
        <w:instrText xml:space="preserve"> SEQ Ilustración \* A</w:instrText>
      </w:r>
      <w:r w:rsidR="000179F4">
        <w:instrText xml:space="preserve">RABIC </w:instrText>
      </w:r>
      <w:r w:rsidR="000179F4">
        <w:fldChar w:fldCharType="separate"/>
      </w:r>
      <w:r w:rsidR="000179F4">
        <w:rPr>
          <w:noProof/>
        </w:rPr>
        <w:t>4</w:t>
      </w:r>
      <w:r w:rsidR="000179F4">
        <w:rPr>
          <w:noProof/>
        </w:rPr>
        <w:fldChar w:fldCharType="end"/>
      </w:r>
      <w:r>
        <w:t xml:space="preserve">: </w:t>
      </w:r>
      <w:r w:rsidRPr="00971E67">
        <w:t xml:space="preserve">Evolución Ingresos, Margen EBITDA y EBITDA </w:t>
      </w:r>
      <w:proofErr w:type="spellStart"/>
      <w:r>
        <w:t>Retail</w:t>
      </w:r>
      <w:proofErr w:type="spellEnd"/>
      <w:r w:rsidR="000E38DA">
        <w:t xml:space="preserve"> (2017-2020)</w:t>
      </w:r>
    </w:p>
    <w:p w14:paraId="317D0C95" w14:textId="77777777" w:rsidR="00BB03E2" w:rsidRPr="00BB03E2" w:rsidRDefault="00BB03E2" w:rsidP="00BB03E2"/>
    <w:p w14:paraId="41912A4E" w14:textId="2FCC168B" w:rsidR="00BF29B2" w:rsidRPr="00BF29B2" w:rsidRDefault="00BF29B2" w:rsidP="00B05EB1">
      <w:pPr>
        <w:pStyle w:val="Ttulo"/>
        <w:widowControl w:val="0"/>
        <w:contextualSpacing w:val="0"/>
      </w:pPr>
      <w:r w:rsidRPr="00BF29B2">
        <w:t>Distribución</w:t>
      </w:r>
    </w:p>
    <w:p w14:paraId="2CA019A1" w14:textId="2E9D47EF" w:rsidR="00D00B82" w:rsidRDefault="005A67B3" w:rsidP="0019737A">
      <w:pPr>
        <w:keepNext/>
        <w:spacing w:after="120"/>
        <w:jc w:val="both"/>
      </w:pPr>
      <w:r>
        <w:t>El segmento Distribución corresponde a la v</w:t>
      </w:r>
      <w:r w:rsidRPr="005A67B3">
        <w:t xml:space="preserve">enta por medio de cadenas de ferreterías (163 puntos de venta), </w:t>
      </w:r>
      <w:bookmarkStart w:id="3" w:name="_Hlk83140065"/>
      <w:r w:rsidRPr="005A67B3">
        <w:t>tiendas especialistas (31 puntos de venta), y distribuidores de grandes superficies (</w:t>
      </w:r>
      <w:bookmarkEnd w:id="3"/>
      <w:r w:rsidRPr="005A67B3">
        <w:t>108 puntos de venta).</w:t>
      </w:r>
      <w:r w:rsidR="000359AB">
        <w:t xml:space="preserve"> </w:t>
      </w:r>
      <w:r w:rsidR="00D00B82">
        <w:t xml:space="preserve">Los locales de los distribuidores se encuentran </w:t>
      </w:r>
      <w:r w:rsidR="00BA6F9E">
        <w:t>ubicados</w:t>
      </w:r>
      <w:r w:rsidR="00D00B82">
        <w:t xml:space="preserve"> a lo largo de todo el país, </w:t>
      </w:r>
      <w:r w:rsidR="00BA6F9E">
        <w:t xml:space="preserve">lo cual </w:t>
      </w:r>
      <w:r w:rsidR="000359AB">
        <w:t>permite</w:t>
      </w:r>
      <w:r w:rsidR="00E40C11">
        <w:t xml:space="preserve"> a</w:t>
      </w:r>
      <w:r w:rsidR="000359AB">
        <w:t xml:space="preserve"> </w:t>
      </w:r>
      <w:r w:rsidR="00BF27A2" w:rsidRPr="00BF27A2">
        <w:rPr>
          <w:b/>
          <w:bCs/>
        </w:rPr>
        <w:t>MK</w:t>
      </w:r>
      <w:r w:rsidR="000359AB">
        <w:t xml:space="preserve"> </w:t>
      </w:r>
      <w:r w:rsidR="00BF27A2">
        <w:t xml:space="preserve">cubrir zonas </w:t>
      </w:r>
      <w:proofErr w:type="spellStart"/>
      <w:r w:rsidR="00BF27A2">
        <w:t>gegrográficas</w:t>
      </w:r>
      <w:proofErr w:type="spellEnd"/>
      <w:r w:rsidR="00BF27A2">
        <w:t xml:space="preserve"> en las que</w:t>
      </w:r>
      <w:r w:rsidR="000359AB">
        <w:t xml:space="preserve"> no presenta cobertura.</w:t>
      </w:r>
    </w:p>
    <w:p w14:paraId="6C282F39" w14:textId="77777777" w:rsidR="00001C83" w:rsidRDefault="00001C83" w:rsidP="0019737A">
      <w:pPr>
        <w:pStyle w:val="Ttulo"/>
        <w:spacing w:after="120" w:line="240" w:lineRule="auto"/>
        <w:rPr>
          <w:lang w:val="es-ES"/>
        </w:rPr>
      </w:pPr>
    </w:p>
    <w:p w14:paraId="68506B75" w14:textId="28D0C527" w:rsidR="000271C6" w:rsidRPr="0019737A" w:rsidRDefault="000271C6" w:rsidP="0019737A">
      <w:pPr>
        <w:pStyle w:val="Ttulo"/>
        <w:rPr>
          <w:sz w:val="24"/>
          <w:szCs w:val="24"/>
          <w:lang w:val="es-ES"/>
        </w:rPr>
      </w:pPr>
      <w:r w:rsidRPr="0019737A">
        <w:rPr>
          <w:sz w:val="24"/>
          <w:szCs w:val="24"/>
          <w:lang w:val="es-ES"/>
        </w:rPr>
        <w:t>Evolución de ingresos y EBITDA</w:t>
      </w:r>
    </w:p>
    <w:p w14:paraId="1B430FAA" w14:textId="385F400F" w:rsidR="00615456" w:rsidRPr="00615456" w:rsidRDefault="00615456" w:rsidP="0019737A">
      <w:pPr>
        <w:spacing w:after="120"/>
        <w:jc w:val="both"/>
        <w:rPr>
          <w:highlight w:val="yellow"/>
        </w:rPr>
      </w:pPr>
      <w:r w:rsidRPr="00EF25D0">
        <w:t xml:space="preserve">El segmento </w:t>
      </w:r>
      <w:proofErr w:type="spellStart"/>
      <w:r w:rsidRPr="00EF25D0">
        <w:t>Disitribución</w:t>
      </w:r>
      <w:proofErr w:type="spellEnd"/>
      <w:r w:rsidRPr="00EF25D0">
        <w:t xml:space="preserve"> representó aproximadamente el </w:t>
      </w:r>
      <w:r w:rsidR="00EF25D0" w:rsidRPr="00EF25D0">
        <w:t>16</w:t>
      </w:r>
      <w:r w:rsidRPr="00EF25D0">
        <w:t>,</w:t>
      </w:r>
      <w:r w:rsidR="00EF25D0" w:rsidRPr="00EF25D0">
        <w:t>9</w:t>
      </w:r>
      <w:r w:rsidRPr="00EF25D0">
        <w:t xml:space="preserve">% de los </w:t>
      </w:r>
      <w:r w:rsidRPr="00A44CF7">
        <w:t xml:space="preserve">ingresos totales de la compañía en el </w:t>
      </w:r>
      <w:r w:rsidRPr="001055D8">
        <w:t>año 2020 (</w:t>
      </w:r>
      <w:r w:rsidR="009206F1" w:rsidRPr="001055D8">
        <w:t>10,1</w:t>
      </w:r>
      <w:r w:rsidRPr="001055D8">
        <w:t xml:space="preserve">% en 2019), generando $ </w:t>
      </w:r>
      <w:r w:rsidR="009206F1" w:rsidRPr="001055D8">
        <w:t xml:space="preserve">15.165 </w:t>
      </w:r>
      <w:r w:rsidRPr="001055D8">
        <w:t xml:space="preserve">millones, lo que </w:t>
      </w:r>
      <w:proofErr w:type="spellStart"/>
      <w:r w:rsidR="000E35F7">
        <w:t>implicó</w:t>
      </w:r>
      <w:r w:rsidRPr="001055D8">
        <w:t>un</w:t>
      </w:r>
      <w:proofErr w:type="spellEnd"/>
      <w:r w:rsidRPr="001055D8">
        <w:t xml:space="preserve"> alza de </w:t>
      </w:r>
      <w:r w:rsidR="00A44CF7" w:rsidRPr="001055D8">
        <w:t>72,6</w:t>
      </w:r>
      <w:r w:rsidRPr="001055D8">
        <w:t>% con respecto a 20</w:t>
      </w:r>
      <w:r w:rsidR="00A44CF7" w:rsidRPr="001055D8">
        <w:t>19</w:t>
      </w:r>
      <w:r w:rsidRPr="001055D8">
        <w:t xml:space="preserve">. Lo </w:t>
      </w:r>
      <w:r w:rsidR="0095442D">
        <w:t xml:space="preserve">que, en parte, se sustenta, como se mencionó </w:t>
      </w:r>
      <w:proofErr w:type="gramStart"/>
      <w:r w:rsidR="0095442D">
        <w:t>anteriormente,</w:t>
      </w:r>
      <w:r w:rsidRPr="001055D8">
        <w:t xml:space="preserve">  por</w:t>
      </w:r>
      <w:proofErr w:type="gramEnd"/>
      <w:r w:rsidRPr="001055D8">
        <w:t xml:space="preserve"> la revalorización que tomó el hogar por la pandemia, junto con los planes de liquidez del gobierno que impulsó la demanda por los bienes de mejoramiento del hogar.</w:t>
      </w:r>
    </w:p>
    <w:p w14:paraId="76BCB429" w14:textId="3BD2A0F0" w:rsidR="00615456" w:rsidRPr="0046178C" w:rsidRDefault="00615456" w:rsidP="0019737A">
      <w:pPr>
        <w:spacing w:after="120"/>
        <w:jc w:val="both"/>
      </w:pPr>
      <w:r w:rsidRPr="0046178C">
        <w:t xml:space="preserve">El EBITDA alcanzó un valor de $ </w:t>
      </w:r>
      <w:r w:rsidR="00635420" w:rsidRPr="0046178C">
        <w:t xml:space="preserve">1.134 </w:t>
      </w:r>
      <w:r w:rsidRPr="0046178C">
        <w:t xml:space="preserve">millones en 2020 ($ </w:t>
      </w:r>
      <w:r w:rsidR="00D526E7" w:rsidRPr="0046178C">
        <w:t>187</w:t>
      </w:r>
      <w:r w:rsidRPr="0046178C">
        <w:t xml:space="preserve"> millones en 2019), mostrando un</w:t>
      </w:r>
      <w:r w:rsidR="0046178C" w:rsidRPr="0046178C">
        <w:t xml:space="preserve"> aumento de 507%</w:t>
      </w:r>
      <w:r w:rsidRPr="0046178C">
        <w:t xml:space="preserve"> respecto al ejercicio anterior.  </w:t>
      </w:r>
    </w:p>
    <w:p w14:paraId="1971D047" w14:textId="396970A2" w:rsidR="002F5F4A" w:rsidRDefault="00615456" w:rsidP="0019737A">
      <w:pPr>
        <w:spacing w:after="120"/>
        <w:jc w:val="both"/>
      </w:pPr>
      <w:r w:rsidRPr="005E7E39">
        <w:t xml:space="preserve">El margen EBITDA alcanzó un </w:t>
      </w:r>
      <w:r w:rsidR="005E7E39" w:rsidRPr="005E7E39">
        <w:t>7</w:t>
      </w:r>
      <w:r w:rsidRPr="005E7E39">
        <w:t>,</w:t>
      </w:r>
      <w:r w:rsidR="005E7E39" w:rsidRPr="005E7E39">
        <w:t>5</w:t>
      </w:r>
      <w:r w:rsidRPr="005E7E39">
        <w:t xml:space="preserve">% en 2020, lo que representó un alza de </w:t>
      </w:r>
      <w:r w:rsidR="005E7E39" w:rsidRPr="005E7E39">
        <w:t>5</w:t>
      </w:r>
      <w:r w:rsidRPr="005E7E39">
        <w:t>,</w:t>
      </w:r>
      <w:r w:rsidR="005E7E39" w:rsidRPr="005E7E39">
        <w:t>4</w:t>
      </w:r>
      <w:r w:rsidRPr="005E7E39">
        <w:t xml:space="preserve"> puntos porcentuales con respecto </w:t>
      </w:r>
      <w:proofErr w:type="gramStart"/>
      <w:r w:rsidRPr="005E7E39">
        <w:t>al  2</w:t>
      </w:r>
      <w:proofErr w:type="gramEnd"/>
      <w:r w:rsidR="005E7E39" w:rsidRPr="005E7E39">
        <w:t>,1</w:t>
      </w:r>
      <w:r w:rsidRPr="005E7E39">
        <w:t>% del mismo periodo anterior.</w:t>
      </w:r>
      <w:r w:rsidRPr="00B6126B">
        <w:t xml:space="preserve"> </w:t>
      </w:r>
    </w:p>
    <w:p w14:paraId="181FB9C4" w14:textId="77777777" w:rsidR="00A307C6" w:rsidRDefault="002F5F4A" w:rsidP="0019737A">
      <w:pPr>
        <w:keepNext/>
        <w:spacing w:after="120"/>
        <w:jc w:val="center"/>
      </w:pPr>
      <w:r>
        <w:rPr>
          <w:noProof/>
        </w:rPr>
        <w:lastRenderedPageBreak/>
        <w:drawing>
          <wp:inline distT="0" distB="0" distL="0" distR="0" wp14:anchorId="258E5091" wp14:editId="0090D526">
            <wp:extent cx="5040000" cy="2160000"/>
            <wp:effectExtent l="0" t="0" r="8255" b="0"/>
            <wp:docPr id="77" name="Gráfico 77">
              <a:extLst xmlns:a="http://schemas.openxmlformats.org/drawingml/2006/main">
                <a:ext uri="{FF2B5EF4-FFF2-40B4-BE49-F238E27FC236}">
                  <a16:creationId xmlns:a16="http://schemas.microsoft.com/office/drawing/2014/main" id="{C7E22BC0-2E49-4C8F-AFD2-D2EA7FAA5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06C064" w14:textId="004F40A2" w:rsidR="00FF2D41" w:rsidRDefault="00A307C6" w:rsidP="0019737A">
      <w:pPr>
        <w:pStyle w:val="Descripcin"/>
        <w:spacing w:after="120"/>
        <w:rPr>
          <w:noProof/>
        </w:rPr>
      </w:pPr>
      <w:r>
        <w:t xml:space="preserve">Ilustración </w:t>
      </w:r>
      <w:r w:rsidR="000179F4">
        <w:fldChar w:fldCharType="begin"/>
      </w:r>
      <w:r w:rsidR="000179F4">
        <w:instrText xml:space="preserve"> SEQ Ilustración \* ARABIC </w:instrText>
      </w:r>
      <w:r w:rsidR="000179F4">
        <w:fldChar w:fldCharType="separate"/>
      </w:r>
      <w:r w:rsidR="000179F4">
        <w:rPr>
          <w:noProof/>
        </w:rPr>
        <w:t>5</w:t>
      </w:r>
      <w:r w:rsidR="000179F4">
        <w:rPr>
          <w:noProof/>
        </w:rPr>
        <w:fldChar w:fldCharType="end"/>
      </w:r>
      <w:r>
        <w:t xml:space="preserve">: </w:t>
      </w:r>
      <w:r w:rsidRPr="000C16CA">
        <w:t>Evolución Ingresos, Margen EBITDA y EBITDA Distribución</w:t>
      </w:r>
      <w:r w:rsidR="000E38DA">
        <w:t xml:space="preserve"> (2017-2020)</w:t>
      </w:r>
    </w:p>
    <w:p w14:paraId="5FECF814" w14:textId="77777777" w:rsidR="00192C7A" w:rsidRPr="0019737A" w:rsidRDefault="00192C7A" w:rsidP="0019737A">
      <w:pPr>
        <w:spacing w:after="120"/>
        <w:jc w:val="both"/>
        <w:rPr>
          <w:rFonts w:eastAsiaTheme="majorEastAsia" w:cstheme="majorBidi"/>
          <w:b/>
          <w:szCs w:val="21"/>
          <w:lang w:val="es-ES"/>
        </w:rPr>
      </w:pPr>
    </w:p>
    <w:p w14:paraId="50CD6583" w14:textId="179A4415" w:rsidR="00BE7443" w:rsidRDefault="00BE7443" w:rsidP="007C18CE">
      <w:pPr>
        <w:spacing w:before="240" w:line="360" w:lineRule="auto"/>
        <w:jc w:val="both"/>
      </w:pPr>
      <w:r>
        <w:rPr>
          <w:rFonts w:eastAsiaTheme="majorEastAsia" w:cstheme="majorBidi"/>
          <w:b/>
          <w:sz w:val="44"/>
          <w:szCs w:val="32"/>
          <w:lang w:val="es-ES"/>
        </w:rPr>
        <w:t>Análisis financiero</w:t>
      </w:r>
      <w:r w:rsidR="00ED7AD2">
        <w:rPr>
          <w:rStyle w:val="Refdenotaalpie"/>
          <w:rFonts w:eastAsiaTheme="majorEastAsia" w:cstheme="majorBidi"/>
          <w:b/>
          <w:sz w:val="44"/>
          <w:szCs w:val="32"/>
          <w:lang w:val="es-ES"/>
        </w:rPr>
        <w:footnoteReference w:id="9"/>
      </w:r>
    </w:p>
    <w:p w14:paraId="2CCB7EF3" w14:textId="2ABBC6B0" w:rsidR="00ED3D53" w:rsidRPr="005E7C00" w:rsidRDefault="00ED3D53" w:rsidP="007C18CE">
      <w:pPr>
        <w:pStyle w:val="Ttulo"/>
        <w:rPr>
          <w:lang w:val="es-ES"/>
        </w:rPr>
      </w:pPr>
      <w:r w:rsidRPr="005E7C00">
        <w:rPr>
          <w:lang w:val="es-ES"/>
        </w:rPr>
        <w:t>Evolución de los ingresos y</w:t>
      </w:r>
      <w:r>
        <w:rPr>
          <w:lang w:val="es-ES"/>
        </w:rPr>
        <w:t xml:space="preserve"> </w:t>
      </w:r>
      <w:r w:rsidR="00CD3D6C">
        <w:rPr>
          <w:lang w:val="es-ES"/>
        </w:rPr>
        <w:t>EBITDA</w:t>
      </w:r>
    </w:p>
    <w:p w14:paraId="71A9672F" w14:textId="648C93D0" w:rsidR="00756515" w:rsidRPr="006A79D4" w:rsidRDefault="00EE1A58" w:rsidP="007C18CE">
      <w:pPr>
        <w:tabs>
          <w:tab w:val="left" w:pos="1080"/>
        </w:tabs>
        <w:spacing w:after="120"/>
        <w:jc w:val="both"/>
        <w:rPr>
          <w:highlight w:val="yellow"/>
        </w:rPr>
      </w:pPr>
      <w:r w:rsidRPr="005169CE">
        <w:rPr>
          <w:bCs/>
        </w:rPr>
        <w:t>La Ilustración 6 muestra la evolución de los ingresos</w:t>
      </w:r>
      <w:r w:rsidR="00F0524C" w:rsidRPr="005169CE">
        <w:rPr>
          <w:bCs/>
        </w:rPr>
        <w:t>, EBITDA y Margen EBITDA</w:t>
      </w:r>
      <w:r w:rsidRPr="005169CE">
        <w:rPr>
          <w:bCs/>
        </w:rPr>
        <w:t xml:space="preserve"> a partir de 2016</w:t>
      </w:r>
      <w:r w:rsidR="00FF65AD">
        <w:rPr>
          <w:bCs/>
        </w:rPr>
        <w:t>. En el gráfico se aprecia</w:t>
      </w:r>
      <w:r w:rsidR="008722E5" w:rsidRPr="005169CE">
        <w:rPr>
          <w:bCs/>
        </w:rPr>
        <w:t xml:space="preserve"> </w:t>
      </w:r>
      <w:r w:rsidRPr="005169CE">
        <w:rPr>
          <w:bCs/>
        </w:rPr>
        <w:t>una</w:t>
      </w:r>
      <w:r w:rsidR="008722E5" w:rsidRPr="005169CE">
        <w:rPr>
          <w:bCs/>
        </w:rPr>
        <w:t xml:space="preserve"> caída en l</w:t>
      </w:r>
      <w:r w:rsidR="005169CE" w:rsidRPr="005169CE">
        <w:rPr>
          <w:bCs/>
        </w:rPr>
        <w:t>os flujos</w:t>
      </w:r>
      <w:r w:rsidR="008722E5" w:rsidRPr="005169CE">
        <w:rPr>
          <w:bCs/>
        </w:rPr>
        <w:t xml:space="preserve"> durante 2017</w:t>
      </w:r>
      <w:r w:rsidR="005169CE" w:rsidRPr="005169CE">
        <w:rPr>
          <w:bCs/>
        </w:rPr>
        <w:t xml:space="preserve"> que</w:t>
      </w:r>
      <w:r w:rsidR="008722E5" w:rsidRPr="005169CE">
        <w:rPr>
          <w:bCs/>
        </w:rPr>
        <w:t xml:space="preserve"> se explica </w:t>
      </w:r>
      <w:r w:rsidR="005169CE" w:rsidRPr="005169CE">
        <w:rPr>
          <w:bCs/>
        </w:rPr>
        <w:t>principalmente por</w:t>
      </w:r>
      <w:r w:rsidR="00F66DF4">
        <w:rPr>
          <w:bCs/>
        </w:rPr>
        <w:t xml:space="preserve"> </w:t>
      </w:r>
      <w:r w:rsidR="00F66DF4">
        <w:t xml:space="preserve">el traslado de las bodegas que </w:t>
      </w:r>
      <w:r w:rsidR="006C25EB">
        <w:t xml:space="preserve">provocó </w:t>
      </w:r>
      <w:r w:rsidR="00257365">
        <w:t>dificultades</w:t>
      </w:r>
      <w:r w:rsidR="006C25EB">
        <w:t xml:space="preserve"> operacionales por algunos meses </w:t>
      </w:r>
      <w:r w:rsidR="00257365">
        <w:t>(</w:t>
      </w:r>
      <w:r w:rsidR="00F66DF4" w:rsidRPr="006C25EB">
        <w:rPr>
          <w:i/>
          <w:iCs/>
        </w:rPr>
        <w:t>set up</w:t>
      </w:r>
      <w:r w:rsidR="00F66DF4">
        <w:t xml:space="preserve"> y mudanza</w:t>
      </w:r>
      <w:r w:rsidR="00257365">
        <w:t>)</w:t>
      </w:r>
      <w:r w:rsidR="00F66DF4">
        <w:t xml:space="preserve">. </w:t>
      </w:r>
      <w:r w:rsidR="006C25EB">
        <w:t xml:space="preserve">Posteriormente, </w:t>
      </w:r>
      <w:r w:rsidR="003B04D1">
        <w:t xml:space="preserve">los flujos </w:t>
      </w:r>
      <w:r w:rsidR="000E2CA2">
        <w:t>evidencian una tendencia al alza</w:t>
      </w:r>
      <w:r w:rsidR="00117517">
        <w:t xml:space="preserve">, </w:t>
      </w:r>
      <w:r w:rsidR="003B04D1">
        <w:t>alcanzando</w:t>
      </w:r>
      <w:r w:rsidR="00B23F55">
        <w:t xml:space="preserve"> en 2020</w:t>
      </w:r>
      <w:r w:rsidR="007E148D">
        <w:t xml:space="preserve"> </w:t>
      </w:r>
      <w:r w:rsidR="003B04D1">
        <w:t xml:space="preserve">ingresos </w:t>
      </w:r>
      <w:r w:rsidR="007E148D">
        <w:t xml:space="preserve">y </w:t>
      </w:r>
      <w:r w:rsidR="007E148D" w:rsidRPr="006A79D4">
        <w:t xml:space="preserve">EBITDA de </w:t>
      </w:r>
      <w:r w:rsidR="00364C4B" w:rsidRPr="006A79D4">
        <w:t>$</w:t>
      </w:r>
      <w:r w:rsidR="00C43E2F">
        <w:t xml:space="preserve"> </w:t>
      </w:r>
      <w:r w:rsidR="00112364" w:rsidRPr="006A79D4">
        <w:t>92.536 millones y</w:t>
      </w:r>
      <w:r w:rsidR="00C43E2F">
        <w:t xml:space="preserve"> </w:t>
      </w:r>
      <w:r w:rsidR="006A79D4" w:rsidRPr="006A79D4">
        <w:t xml:space="preserve">$ </w:t>
      </w:r>
      <w:r w:rsidR="00BA65FD">
        <w:t>10</w:t>
      </w:r>
      <w:r w:rsidR="006A79D4" w:rsidRPr="006A79D4">
        <w:t>.</w:t>
      </w:r>
      <w:r w:rsidR="00F27789">
        <w:t>012</w:t>
      </w:r>
      <w:r w:rsidR="006A79D4" w:rsidRPr="006A79D4">
        <w:t xml:space="preserve"> millones,</w:t>
      </w:r>
      <w:r w:rsidR="006A79D4">
        <w:t xml:space="preserve"> respectivamente. </w:t>
      </w:r>
      <w:r w:rsidR="00756515">
        <w:t xml:space="preserve">En los últimos doce meses, el crecimiento </w:t>
      </w:r>
      <w:r w:rsidR="00B626C7">
        <w:t>se aceleró</w:t>
      </w:r>
      <w:r w:rsidR="00AF0124">
        <w:t>,</w:t>
      </w:r>
      <w:r w:rsidR="00E807F0">
        <w:t xml:space="preserve"> </w:t>
      </w:r>
      <w:r w:rsidR="00AF0124">
        <w:t>por</w:t>
      </w:r>
      <w:r w:rsidR="00B626C7">
        <w:t xml:space="preserve"> </w:t>
      </w:r>
      <w:r w:rsidR="00501276">
        <w:t>la mayor</w:t>
      </w:r>
      <w:r w:rsidR="00E807F0">
        <w:t xml:space="preserve"> demanda</w:t>
      </w:r>
      <w:r w:rsidR="00501276">
        <w:t xml:space="preserve"> percibida ante </w:t>
      </w:r>
      <w:r w:rsidR="00625DB4">
        <w:t xml:space="preserve">los niveles de liquidez del </w:t>
      </w:r>
      <w:r w:rsidR="00B626C7">
        <w:t>mercado</w:t>
      </w:r>
      <w:r w:rsidR="0095442D">
        <w:t>,</w:t>
      </w:r>
      <w:r w:rsidR="00AF0124">
        <w:t xml:space="preserve"> </w:t>
      </w:r>
      <w:r w:rsidR="00625DB4" w:rsidRPr="00625DB4">
        <w:t>asociados a los retiros de fondos previsionales y los programas de ingreso de emergencia implementados por el Gobierno, en el contexto de la crisis sanitaria</w:t>
      </w:r>
      <w:r w:rsidR="00625DB4">
        <w:t>.</w:t>
      </w:r>
      <w:r w:rsidR="00AF0124">
        <w:t xml:space="preserve"> De esta manera, </w:t>
      </w:r>
      <w:r w:rsidR="00287514">
        <w:t>a</w:t>
      </w:r>
      <w:r w:rsidR="00AF0124">
        <w:t xml:space="preserve"> junio de 2021 (UDM) los ingresos alcanzaron los </w:t>
      </w:r>
      <w:r w:rsidR="007B30BF">
        <w:t xml:space="preserve">$ </w:t>
      </w:r>
      <w:proofErr w:type="gramStart"/>
      <w:r w:rsidR="00E544E7" w:rsidRPr="00E544E7">
        <w:t xml:space="preserve">123.652 </w:t>
      </w:r>
      <w:r w:rsidR="00AF0124">
        <w:t xml:space="preserve"> millones</w:t>
      </w:r>
      <w:proofErr w:type="gramEnd"/>
      <w:r w:rsidR="00AF0124">
        <w:t xml:space="preserve"> y el EBITDA los $ </w:t>
      </w:r>
      <w:r w:rsidR="00E544E7" w:rsidRPr="00E544E7">
        <w:t>1</w:t>
      </w:r>
      <w:r w:rsidR="00287514">
        <w:t>8</w:t>
      </w:r>
      <w:r w:rsidR="00E544E7" w:rsidRPr="00E544E7">
        <w:t>.</w:t>
      </w:r>
      <w:r w:rsidR="00287514">
        <w:t>908</w:t>
      </w:r>
      <w:r w:rsidR="00E544E7" w:rsidRPr="00E544E7">
        <w:t xml:space="preserve"> </w:t>
      </w:r>
      <w:r w:rsidR="00AF0124">
        <w:t>millones</w:t>
      </w:r>
      <w:r w:rsidR="001E58BC">
        <w:t>.</w:t>
      </w:r>
    </w:p>
    <w:p w14:paraId="701B29CA" w14:textId="769C11D7" w:rsidR="00F66DF4" w:rsidRPr="00F66DF4" w:rsidRDefault="001E58BC" w:rsidP="007C18CE">
      <w:pPr>
        <w:tabs>
          <w:tab w:val="left" w:pos="1080"/>
        </w:tabs>
        <w:spacing w:after="120"/>
        <w:jc w:val="both"/>
        <w:rPr>
          <w:bCs/>
        </w:rPr>
      </w:pPr>
      <w:r>
        <w:t>El margen EBITDA de la compañía, también evidencia una tendencia creciente</w:t>
      </w:r>
      <w:r w:rsidR="00805A0D">
        <w:t xml:space="preserve"> luego de alcanzar su punto más bajo en 2017 de </w:t>
      </w:r>
      <w:r w:rsidR="00780CFF">
        <w:t>5,5</w:t>
      </w:r>
      <w:r w:rsidR="00805A0D">
        <w:t xml:space="preserve">%, hasta alcanzar </w:t>
      </w:r>
      <w:r w:rsidR="0082289D">
        <w:t>un 1</w:t>
      </w:r>
      <w:r w:rsidR="000B4E0A">
        <w:t>5</w:t>
      </w:r>
      <w:r w:rsidR="0082289D">
        <w:t>,3</w:t>
      </w:r>
      <w:r w:rsidR="00805A0D">
        <w:t xml:space="preserve">% </w:t>
      </w:r>
      <w:r w:rsidR="000B4E0A">
        <w:t>a</w:t>
      </w:r>
      <w:r w:rsidR="00805A0D">
        <w:t xml:space="preserve"> junio de 2021 (UDM).</w:t>
      </w:r>
      <w:r w:rsidR="003C6CA0">
        <w:t xml:space="preserve"> </w:t>
      </w:r>
    </w:p>
    <w:p w14:paraId="52C31F62" w14:textId="77777777" w:rsidR="00805A0D" w:rsidRDefault="00805A0D" w:rsidP="007C18CE">
      <w:pPr>
        <w:spacing w:after="120"/>
        <w:jc w:val="both"/>
      </w:pPr>
    </w:p>
    <w:p w14:paraId="4387E4A7" w14:textId="09BE260A" w:rsidR="00F33AAC" w:rsidRDefault="00BA65FD" w:rsidP="007C18CE">
      <w:pPr>
        <w:spacing w:after="120"/>
        <w:jc w:val="center"/>
      </w:pPr>
      <w:r>
        <w:rPr>
          <w:noProof/>
        </w:rPr>
        <w:lastRenderedPageBreak/>
        <w:drawing>
          <wp:inline distT="0" distB="0" distL="0" distR="0" wp14:anchorId="5EC6126A" wp14:editId="300A9BD6">
            <wp:extent cx="4533900" cy="2113915"/>
            <wp:effectExtent l="0" t="0" r="0" b="635"/>
            <wp:docPr id="13" name="Gráfico 13">
              <a:extLst xmlns:a="http://schemas.openxmlformats.org/drawingml/2006/main">
                <a:ext uri="{FF2B5EF4-FFF2-40B4-BE49-F238E27FC236}">
                  <a16:creationId xmlns:a16="http://schemas.microsoft.com/office/drawing/2014/main" id="{491C40B8-6407-4C99-83D8-3B4691CB8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A73782" w14:textId="0953C476" w:rsidR="008801DE" w:rsidRPr="008801DE" w:rsidRDefault="00147C5D" w:rsidP="007C18CE">
      <w:pPr>
        <w:pStyle w:val="Descripcin"/>
        <w:spacing w:after="120"/>
      </w:pPr>
      <w:r>
        <w:t xml:space="preserve">Ilustración </w:t>
      </w:r>
      <w:r w:rsidR="000179F4">
        <w:fldChar w:fldCharType="begin"/>
      </w:r>
      <w:r w:rsidR="000179F4">
        <w:instrText xml:space="preserve"> SEQ Ilustración \* ARABIC </w:instrText>
      </w:r>
      <w:r w:rsidR="000179F4">
        <w:fldChar w:fldCharType="separate"/>
      </w:r>
      <w:r w:rsidR="000179F4">
        <w:rPr>
          <w:noProof/>
        </w:rPr>
        <w:t>6</w:t>
      </w:r>
      <w:r w:rsidR="000179F4">
        <w:rPr>
          <w:noProof/>
        </w:rPr>
        <w:fldChar w:fldCharType="end"/>
      </w:r>
      <w:r>
        <w:t xml:space="preserve">: </w:t>
      </w:r>
      <w:r w:rsidRPr="00894422">
        <w:t>Ingresos, EBITDA y Margen EBITDA</w:t>
      </w:r>
      <w:r>
        <w:t xml:space="preserve"> (</w:t>
      </w:r>
      <w:r w:rsidR="001868E2">
        <w:t>2016 – junio 2021 UDM)</w:t>
      </w:r>
    </w:p>
    <w:p w14:paraId="1BC87789" w14:textId="77777777" w:rsidR="00F33AAC" w:rsidRPr="007C3DDB" w:rsidRDefault="00F33AAC" w:rsidP="007C18CE">
      <w:pPr>
        <w:spacing w:after="120"/>
        <w:rPr>
          <w:lang w:val="es-ES"/>
        </w:rPr>
      </w:pPr>
    </w:p>
    <w:p w14:paraId="3D28C0C4" w14:textId="77777777" w:rsidR="00237BC2" w:rsidRPr="00667AA6" w:rsidRDefault="00237BC2" w:rsidP="007C18CE">
      <w:pPr>
        <w:pStyle w:val="Ttulo"/>
        <w:rPr>
          <w:lang w:val="es-ES"/>
        </w:rPr>
      </w:pPr>
      <w:r>
        <w:rPr>
          <w:lang w:val="es-ES"/>
        </w:rPr>
        <w:t>Evolución del e</w:t>
      </w:r>
      <w:r w:rsidRPr="00667AA6">
        <w:rPr>
          <w:lang w:val="es-ES"/>
        </w:rPr>
        <w:t>ndeudamiento</w:t>
      </w:r>
      <w:r w:rsidRPr="00667AA6">
        <w:rPr>
          <w:lang w:val="es-ES"/>
        </w:rPr>
        <w:tab/>
      </w:r>
    </w:p>
    <w:p w14:paraId="2D6BE758" w14:textId="671AF904" w:rsidR="00BA24ED" w:rsidRPr="00D12A43" w:rsidRDefault="00297410" w:rsidP="007C18CE">
      <w:pPr>
        <w:pStyle w:val="Sangradetextonormal"/>
        <w:tabs>
          <w:tab w:val="left" w:pos="993"/>
        </w:tabs>
        <w:ind w:left="0"/>
        <w:jc w:val="both"/>
        <w:rPr>
          <w:rFonts w:ascii="Myriad Pro" w:eastAsiaTheme="minorHAnsi" w:hAnsi="Myriad Pro" w:cstheme="minorBidi"/>
          <w:color w:val="2E3B5D"/>
          <w:sz w:val="21"/>
          <w:lang w:val="es-CL" w:eastAsia="en-US"/>
        </w:rPr>
      </w:pPr>
      <w:r>
        <w:rPr>
          <w:rFonts w:ascii="Myriad Pro" w:eastAsiaTheme="minorHAnsi" w:hAnsi="Myriad Pro" w:cstheme="minorBidi"/>
          <w:color w:val="2E3B5D"/>
          <w:sz w:val="21"/>
          <w:lang w:val="es-CL" w:eastAsia="en-US"/>
        </w:rPr>
        <w:t>La</w:t>
      </w:r>
      <w:r w:rsidR="00996201" w:rsidRPr="00996201">
        <w:rPr>
          <w:rFonts w:ascii="Myriad Pro" w:eastAsiaTheme="minorHAnsi" w:hAnsi="Myriad Pro" w:cstheme="minorBidi"/>
          <w:color w:val="2E3B5D"/>
          <w:sz w:val="21"/>
          <w:lang w:val="es-CL" w:eastAsia="en-US"/>
        </w:rPr>
        <w:t xml:space="preserve"> </w:t>
      </w:r>
      <w:r w:rsidR="002C4263">
        <w:rPr>
          <w:rFonts w:ascii="Myriad Pro" w:eastAsiaTheme="minorHAnsi" w:hAnsi="Myriad Pro" w:cstheme="minorBidi"/>
          <w:color w:val="2E3B5D"/>
          <w:sz w:val="21"/>
          <w:lang w:val="es-CL" w:eastAsia="en-US"/>
        </w:rPr>
        <w:t xml:space="preserve">relación </w:t>
      </w:r>
      <w:r w:rsidR="00996201" w:rsidRPr="00682294">
        <w:rPr>
          <w:rFonts w:ascii="Myriad Pro" w:eastAsiaTheme="minorHAnsi" w:hAnsi="Myriad Pro" w:cstheme="minorBidi"/>
          <w:color w:val="2E3B5D"/>
          <w:sz w:val="21"/>
          <w:lang w:val="es-CL" w:eastAsia="en-US"/>
        </w:rPr>
        <w:t>deuda financiera sobre EBITDA</w:t>
      </w:r>
      <w:r w:rsidR="00EF4FA6" w:rsidRPr="00682294">
        <w:rPr>
          <w:rFonts w:ascii="Myriad Pro" w:eastAsiaTheme="minorHAnsi" w:hAnsi="Myriad Pro" w:cstheme="minorBidi"/>
          <w:color w:val="2E3B5D"/>
          <w:sz w:val="21"/>
          <w:lang w:val="es-CL" w:eastAsia="en-US"/>
        </w:rPr>
        <w:t xml:space="preserve"> </w:t>
      </w:r>
      <w:r w:rsidR="003D21DC" w:rsidRPr="00682294">
        <w:rPr>
          <w:rFonts w:ascii="Myriad Pro" w:eastAsiaTheme="minorHAnsi" w:hAnsi="Myriad Pro" w:cstheme="minorBidi"/>
          <w:color w:val="2E3B5D"/>
          <w:sz w:val="21"/>
          <w:lang w:val="es-CL" w:eastAsia="en-US"/>
        </w:rPr>
        <w:t>presenta</w:t>
      </w:r>
      <w:r w:rsidRPr="00682294">
        <w:rPr>
          <w:rFonts w:ascii="Myriad Pro" w:eastAsiaTheme="minorHAnsi" w:hAnsi="Myriad Pro" w:cstheme="minorBidi"/>
          <w:color w:val="2E3B5D"/>
          <w:sz w:val="21"/>
          <w:lang w:val="es-CL" w:eastAsia="en-US"/>
        </w:rPr>
        <w:t xml:space="preserve"> una tendencia al alza hasta 2019, periodo en que </w:t>
      </w:r>
      <w:r w:rsidR="002C4263" w:rsidRPr="00682294">
        <w:rPr>
          <w:rFonts w:ascii="Myriad Pro" w:eastAsiaTheme="minorHAnsi" w:hAnsi="Myriad Pro" w:cstheme="minorBidi"/>
          <w:color w:val="2E3B5D"/>
          <w:sz w:val="21"/>
          <w:lang w:val="es-CL" w:eastAsia="en-US"/>
        </w:rPr>
        <w:t>el indicador</w:t>
      </w:r>
      <w:r w:rsidRPr="00682294">
        <w:rPr>
          <w:rFonts w:ascii="Myriad Pro" w:eastAsiaTheme="minorHAnsi" w:hAnsi="Myriad Pro" w:cstheme="minorBidi"/>
          <w:color w:val="2E3B5D"/>
          <w:sz w:val="21"/>
          <w:lang w:val="es-CL" w:eastAsia="en-US"/>
        </w:rPr>
        <w:t xml:space="preserve"> alcanz</w:t>
      </w:r>
      <w:r w:rsidR="002C4263" w:rsidRPr="00682294">
        <w:rPr>
          <w:rFonts w:ascii="Myriad Pro" w:eastAsiaTheme="minorHAnsi" w:hAnsi="Myriad Pro" w:cstheme="minorBidi"/>
          <w:color w:val="2E3B5D"/>
          <w:sz w:val="21"/>
          <w:lang w:val="es-CL" w:eastAsia="en-US"/>
        </w:rPr>
        <w:t>ó</w:t>
      </w:r>
      <w:r w:rsidRPr="00682294">
        <w:rPr>
          <w:rFonts w:ascii="Myriad Pro" w:eastAsiaTheme="minorHAnsi" w:hAnsi="Myriad Pro" w:cstheme="minorBidi"/>
          <w:color w:val="2E3B5D"/>
          <w:sz w:val="21"/>
          <w:lang w:val="es-CL" w:eastAsia="en-US"/>
        </w:rPr>
        <w:t xml:space="preserve"> las </w:t>
      </w:r>
      <w:r w:rsidR="00A951F9">
        <w:rPr>
          <w:rFonts w:ascii="Myriad Pro" w:eastAsiaTheme="minorHAnsi" w:hAnsi="Myriad Pro" w:cstheme="minorBidi"/>
          <w:color w:val="2E3B5D"/>
          <w:sz w:val="21"/>
          <w:lang w:val="es-CL" w:eastAsia="en-US"/>
        </w:rPr>
        <w:t>7,2</w:t>
      </w:r>
      <w:r w:rsidR="000D240E">
        <w:rPr>
          <w:rFonts w:ascii="Myriad Pro" w:eastAsiaTheme="minorHAnsi" w:hAnsi="Myriad Pro" w:cstheme="minorBidi"/>
          <w:color w:val="2E3B5D"/>
          <w:sz w:val="21"/>
          <w:lang w:val="es-CL" w:eastAsia="en-US"/>
        </w:rPr>
        <w:t xml:space="preserve"> </w:t>
      </w:r>
      <w:r w:rsidRPr="00682294">
        <w:rPr>
          <w:rFonts w:ascii="Myriad Pro" w:eastAsiaTheme="minorHAnsi" w:hAnsi="Myriad Pro" w:cstheme="minorBidi"/>
          <w:color w:val="2E3B5D"/>
          <w:sz w:val="21"/>
          <w:lang w:val="es-CL" w:eastAsia="en-US"/>
        </w:rPr>
        <w:t>veces</w:t>
      </w:r>
      <w:r w:rsidR="00121E8E" w:rsidRPr="00682294">
        <w:rPr>
          <w:rFonts w:ascii="Myriad Pro" w:eastAsiaTheme="minorHAnsi" w:hAnsi="Myriad Pro" w:cstheme="minorBidi"/>
          <w:color w:val="2E3B5D"/>
          <w:sz w:val="21"/>
          <w:lang w:val="es-CL" w:eastAsia="en-US"/>
        </w:rPr>
        <w:t>.</w:t>
      </w:r>
      <w:r w:rsidR="002C4263" w:rsidRPr="00682294">
        <w:rPr>
          <w:rFonts w:ascii="Myriad Pro" w:eastAsiaTheme="minorHAnsi" w:hAnsi="Myriad Pro" w:cstheme="minorBidi"/>
          <w:color w:val="2E3B5D"/>
          <w:sz w:val="21"/>
          <w:lang w:val="es-CL" w:eastAsia="en-US"/>
        </w:rPr>
        <w:t xml:space="preserve"> Sin embargo, </w:t>
      </w:r>
      <w:r w:rsidR="00682294" w:rsidRPr="00682294">
        <w:rPr>
          <w:rFonts w:ascii="Myriad Pro" w:eastAsiaTheme="minorHAnsi" w:hAnsi="Myriad Pro" w:cstheme="minorBidi"/>
          <w:color w:val="2E3B5D"/>
          <w:sz w:val="21"/>
          <w:lang w:val="es-CL" w:eastAsia="en-US"/>
        </w:rPr>
        <w:t xml:space="preserve">en adelante se </w:t>
      </w:r>
      <w:r w:rsidR="00425F3F">
        <w:rPr>
          <w:rFonts w:ascii="Myriad Pro" w:eastAsiaTheme="minorHAnsi" w:hAnsi="Myriad Pro" w:cstheme="minorBidi"/>
          <w:color w:val="2E3B5D"/>
          <w:sz w:val="21"/>
          <w:lang w:val="es-CL" w:eastAsia="en-US"/>
        </w:rPr>
        <w:t>revierte la tendencia</w:t>
      </w:r>
      <w:r w:rsidR="00682294" w:rsidRPr="00682294">
        <w:rPr>
          <w:rFonts w:ascii="Myriad Pro" w:eastAsiaTheme="minorHAnsi" w:hAnsi="Myriad Pro" w:cstheme="minorBidi"/>
          <w:color w:val="2E3B5D"/>
          <w:sz w:val="21"/>
          <w:lang w:val="es-CL" w:eastAsia="en-US"/>
        </w:rPr>
        <w:t xml:space="preserve"> alcanzando las </w:t>
      </w:r>
      <w:r w:rsidR="00A951F9">
        <w:rPr>
          <w:rFonts w:ascii="Myriad Pro" w:eastAsiaTheme="minorHAnsi" w:hAnsi="Myriad Pro" w:cstheme="minorBidi"/>
          <w:color w:val="2E3B5D"/>
          <w:sz w:val="21"/>
          <w:lang w:val="es-CL" w:eastAsia="en-US"/>
        </w:rPr>
        <w:t xml:space="preserve">3,9 </w:t>
      </w:r>
      <w:r w:rsidR="00682294" w:rsidRPr="00682294">
        <w:rPr>
          <w:rFonts w:ascii="Myriad Pro" w:eastAsiaTheme="minorHAnsi" w:hAnsi="Myriad Pro" w:cstheme="minorBidi"/>
          <w:color w:val="2E3B5D"/>
          <w:sz w:val="21"/>
          <w:lang w:val="es-CL" w:eastAsia="en-US"/>
        </w:rPr>
        <w:t>veces a junio de 202</w:t>
      </w:r>
      <w:r w:rsidR="00DD69D3">
        <w:rPr>
          <w:rFonts w:ascii="Myriad Pro" w:eastAsiaTheme="minorHAnsi" w:hAnsi="Myriad Pro" w:cstheme="minorBidi"/>
          <w:color w:val="2E3B5D"/>
          <w:sz w:val="21"/>
          <w:lang w:val="es-CL" w:eastAsia="en-US"/>
        </w:rPr>
        <w:t xml:space="preserve">1 </w:t>
      </w:r>
      <w:r w:rsidR="00682294" w:rsidRPr="00682294">
        <w:rPr>
          <w:rFonts w:ascii="Myriad Pro" w:eastAsiaTheme="minorHAnsi" w:hAnsi="Myriad Pro" w:cstheme="minorBidi"/>
          <w:color w:val="2E3B5D"/>
          <w:sz w:val="21"/>
          <w:lang w:val="es-CL" w:eastAsia="en-US"/>
        </w:rPr>
        <w:t>(EBITDA anualizado)</w:t>
      </w:r>
      <w:r w:rsidR="00425F3F">
        <w:rPr>
          <w:rFonts w:ascii="Myriad Pro" w:eastAsiaTheme="minorHAnsi" w:hAnsi="Myriad Pro" w:cstheme="minorBidi"/>
          <w:color w:val="2E3B5D"/>
          <w:sz w:val="21"/>
          <w:lang w:val="es-CL" w:eastAsia="en-US"/>
        </w:rPr>
        <w:t>. Por su parte el indicador deuda financiera sobre flujo de caja de larg</w:t>
      </w:r>
      <w:r w:rsidR="00DD69D3">
        <w:rPr>
          <w:rFonts w:ascii="Myriad Pro" w:eastAsiaTheme="minorHAnsi" w:hAnsi="Myriad Pro" w:cstheme="minorBidi"/>
          <w:color w:val="2E3B5D"/>
          <w:sz w:val="21"/>
          <w:lang w:val="es-CL" w:eastAsia="en-US"/>
        </w:rPr>
        <w:t>o</w:t>
      </w:r>
      <w:r w:rsidR="00425F3F">
        <w:rPr>
          <w:rFonts w:ascii="Myriad Pro" w:eastAsiaTheme="minorHAnsi" w:hAnsi="Myriad Pro" w:cstheme="minorBidi"/>
          <w:color w:val="2E3B5D"/>
          <w:sz w:val="21"/>
          <w:lang w:val="es-CL" w:eastAsia="en-US"/>
        </w:rPr>
        <w:t xml:space="preserve"> plazo</w:t>
      </w:r>
      <w:r w:rsidR="00A45854">
        <w:rPr>
          <w:rFonts w:ascii="Myriad Pro" w:eastAsiaTheme="minorHAnsi" w:hAnsi="Myriad Pro" w:cstheme="minorBidi"/>
          <w:color w:val="2E3B5D"/>
          <w:sz w:val="21"/>
          <w:lang w:val="es-CL" w:eastAsia="en-US"/>
        </w:rPr>
        <w:t xml:space="preserve"> sin ajustar se mantuvo </w:t>
      </w:r>
      <w:r w:rsidR="001577AB">
        <w:rPr>
          <w:rFonts w:ascii="Myriad Pro" w:eastAsiaTheme="minorHAnsi" w:hAnsi="Myriad Pro" w:cstheme="minorBidi"/>
          <w:color w:val="2E3B5D"/>
          <w:sz w:val="21"/>
          <w:lang w:val="es-CL" w:eastAsia="en-US"/>
        </w:rPr>
        <w:t xml:space="preserve">relativamente </w:t>
      </w:r>
      <w:r w:rsidR="00A45854">
        <w:rPr>
          <w:rFonts w:ascii="Myriad Pro" w:eastAsiaTheme="minorHAnsi" w:hAnsi="Myriad Pro" w:cstheme="minorBidi"/>
          <w:color w:val="2E3B5D"/>
          <w:sz w:val="21"/>
          <w:lang w:val="es-CL" w:eastAsia="en-US"/>
        </w:rPr>
        <w:t>estable en el periodo entre 2019 y 2021</w:t>
      </w:r>
      <w:r w:rsidR="00E52037">
        <w:rPr>
          <w:rFonts w:ascii="Myriad Pro" w:eastAsiaTheme="minorHAnsi" w:hAnsi="Myriad Pro" w:cstheme="minorBidi"/>
          <w:color w:val="2E3B5D"/>
          <w:sz w:val="21"/>
          <w:lang w:val="es-CL" w:eastAsia="en-US"/>
        </w:rPr>
        <w:t>, alcanzando las</w:t>
      </w:r>
      <w:r w:rsidR="00425F3F">
        <w:rPr>
          <w:rFonts w:ascii="Myriad Pro" w:eastAsiaTheme="minorHAnsi" w:hAnsi="Myriad Pro" w:cstheme="minorBidi"/>
          <w:color w:val="2E3B5D"/>
          <w:sz w:val="21"/>
          <w:lang w:val="es-CL" w:eastAsia="en-US"/>
        </w:rPr>
        <w:t xml:space="preserve"> </w:t>
      </w:r>
      <w:r w:rsidR="001577AB">
        <w:rPr>
          <w:rFonts w:ascii="Myriad Pro" w:eastAsiaTheme="minorHAnsi" w:hAnsi="Myriad Pro" w:cstheme="minorBidi"/>
          <w:color w:val="2E3B5D"/>
          <w:sz w:val="21"/>
          <w:lang w:val="es-CL" w:eastAsia="en-US"/>
        </w:rPr>
        <w:t>7,0</w:t>
      </w:r>
      <w:r w:rsidR="00425F3F">
        <w:rPr>
          <w:rFonts w:ascii="Myriad Pro" w:eastAsiaTheme="minorHAnsi" w:hAnsi="Myriad Pro" w:cstheme="minorBidi"/>
          <w:color w:val="2E3B5D"/>
          <w:sz w:val="21"/>
          <w:lang w:val="es-CL" w:eastAsia="en-US"/>
        </w:rPr>
        <w:t xml:space="preserve"> veces a junio de 202</w:t>
      </w:r>
      <w:r w:rsidR="00D12C4C">
        <w:rPr>
          <w:rFonts w:ascii="Myriad Pro" w:eastAsiaTheme="minorHAnsi" w:hAnsi="Myriad Pro" w:cstheme="minorBidi"/>
          <w:color w:val="2E3B5D"/>
          <w:sz w:val="21"/>
          <w:lang w:val="es-CL" w:eastAsia="en-US"/>
        </w:rPr>
        <w:t>1 (flujo de caja anualizado)</w:t>
      </w:r>
      <w:r w:rsidR="00DD69D3">
        <w:rPr>
          <w:rFonts w:ascii="Myriad Pro" w:eastAsiaTheme="minorHAnsi" w:hAnsi="Myriad Pro" w:cstheme="minorBidi"/>
          <w:color w:val="2E3B5D"/>
          <w:sz w:val="21"/>
          <w:lang w:val="es-CL" w:eastAsia="en-US"/>
        </w:rPr>
        <w:t xml:space="preserve">. </w:t>
      </w:r>
      <w:r w:rsidR="00504DDB">
        <w:rPr>
          <w:rFonts w:ascii="Myriad Pro" w:eastAsiaTheme="minorHAnsi" w:hAnsi="Myriad Pro" w:cstheme="minorBidi"/>
          <w:color w:val="2E3B5D"/>
          <w:sz w:val="21"/>
          <w:lang w:val="es-CL" w:eastAsia="en-US"/>
        </w:rPr>
        <w:t>No obstante, el mismo indicador</w:t>
      </w:r>
      <w:r w:rsidR="009849A2">
        <w:rPr>
          <w:rFonts w:ascii="Myriad Pro" w:eastAsiaTheme="minorHAnsi" w:hAnsi="Myriad Pro" w:cstheme="minorBidi"/>
          <w:color w:val="2E3B5D"/>
          <w:sz w:val="21"/>
          <w:lang w:val="es-CL" w:eastAsia="en-US"/>
        </w:rPr>
        <w:t>, considerando</w:t>
      </w:r>
      <w:r w:rsidR="00504DDB">
        <w:rPr>
          <w:rFonts w:ascii="Myriad Pro" w:eastAsiaTheme="minorHAnsi" w:hAnsi="Myriad Pro" w:cstheme="minorBidi"/>
          <w:color w:val="2E3B5D"/>
          <w:sz w:val="21"/>
          <w:lang w:val="es-CL" w:eastAsia="en-US"/>
        </w:rPr>
        <w:t xml:space="preserve"> </w:t>
      </w:r>
      <w:r w:rsidR="00E91D09">
        <w:rPr>
          <w:rFonts w:ascii="Myriad Pro" w:eastAsiaTheme="minorHAnsi" w:hAnsi="Myriad Pro" w:cstheme="minorBidi"/>
          <w:color w:val="2E3B5D"/>
          <w:sz w:val="21"/>
          <w:lang w:val="es-CL" w:eastAsia="en-US"/>
        </w:rPr>
        <w:t>la</w:t>
      </w:r>
      <w:r w:rsidR="00776923">
        <w:rPr>
          <w:rFonts w:ascii="Myriad Pro" w:eastAsiaTheme="minorHAnsi" w:hAnsi="Myriad Pro" w:cstheme="minorBidi"/>
          <w:color w:val="2E3B5D"/>
          <w:sz w:val="21"/>
          <w:lang w:val="es-CL" w:eastAsia="en-US"/>
        </w:rPr>
        <w:t>s rentabilidades representativas de la compañía (sin considerar 2017 por cambio de bodega)</w:t>
      </w:r>
      <w:r w:rsidR="009849A2">
        <w:rPr>
          <w:rFonts w:ascii="Myriad Pro" w:eastAsiaTheme="minorHAnsi" w:hAnsi="Myriad Pro" w:cstheme="minorBidi"/>
          <w:color w:val="2E3B5D"/>
          <w:sz w:val="21"/>
          <w:lang w:val="es-CL" w:eastAsia="en-US"/>
        </w:rPr>
        <w:t xml:space="preserve"> y ajustado por</w:t>
      </w:r>
      <w:r w:rsidR="005008FB">
        <w:rPr>
          <w:rFonts w:ascii="Myriad Pro" w:eastAsiaTheme="minorHAnsi" w:hAnsi="Myriad Pro" w:cstheme="minorBidi"/>
          <w:color w:val="2E3B5D"/>
          <w:sz w:val="21"/>
          <w:lang w:val="es-CL" w:eastAsia="en-US"/>
        </w:rPr>
        <w:t xml:space="preserve"> </w:t>
      </w:r>
      <w:proofErr w:type="spellStart"/>
      <w:proofErr w:type="gramStart"/>
      <w:r w:rsidR="005008FB">
        <w:rPr>
          <w:rFonts w:ascii="Myriad Pro" w:eastAsiaTheme="minorHAnsi" w:hAnsi="Myriad Pro" w:cstheme="minorBidi"/>
          <w:color w:val="2E3B5D"/>
          <w:sz w:val="21"/>
          <w:lang w:val="es-CL" w:eastAsia="en-US"/>
        </w:rPr>
        <w:t>la</w:t>
      </w:r>
      <w:r w:rsidR="00E91D09">
        <w:rPr>
          <w:rFonts w:ascii="Myriad Pro" w:eastAsiaTheme="minorHAnsi" w:hAnsi="Myriad Pro" w:cstheme="minorBidi"/>
          <w:color w:val="2E3B5D"/>
          <w:sz w:val="21"/>
          <w:lang w:val="es-CL" w:eastAsia="en-US"/>
        </w:rPr>
        <w:t>liquidez</w:t>
      </w:r>
      <w:proofErr w:type="spellEnd"/>
      <w:r w:rsidR="00E91D09">
        <w:rPr>
          <w:rFonts w:ascii="Myriad Pro" w:eastAsiaTheme="minorHAnsi" w:hAnsi="Myriad Pro" w:cstheme="minorBidi"/>
          <w:color w:val="2E3B5D"/>
          <w:sz w:val="21"/>
          <w:lang w:val="es-CL" w:eastAsia="en-US"/>
        </w:rPr>
        <w:t xml:space="preserve"> </w:t>
      </w:r>
      <w:r w:rsidR="00776923">
        <w:rPr>
          <w:rFonts w:ascii="Myriad Pro" w:eastAsiaTheme="minorHAnsi" w:hAnsi="Myriad Pro" w:cstheme="minorBidi"/>
          <w:color w:val="2E3B5D"/>
          <w:sz w:val="21"/>
          <w:lang w:val="es-CL" w:eastAsia="en-US"/>
        </w:rPr>
        <w:t xml:space="preserve"> </w:t>
      </w:r>
      <w:r w:rsidR="00A11E36">
        <w:rPr>
          <w:rFonts w:ascii="Myriad Pro" w:eastAsiaTheme="minorHAnsi" w:hAnsi="Myriad Pro" w:cstheme="minorBidi"/>
          <w:color w:val="2E3B5D"/>
          <w:sz w:val="21"/>
          <w:lang w:val="es-CL" w:eastAsia="en-US"/>
        </w:rPr>
        <w:t>y</w:t>
      </w:r>
      <w:proofErr w:type="gramEnd"/>
      <w:r w:rsidR="00A11E36">
        <w:rPr>
          <w:rFonts w:ascii="Myriad Pro" w:eastAsiaTheme="minorHAnsi" w:hAnsi="Myriad Pro" w:cstheme="minorBidi"/>
          <w:color w:val="2E3B5D"/>
          <w:sz w:val="21"/>
          <w:lang w:val="es-CL" w:eastAsia="en-US"/>
        </w:rPr>
        <w:t xml:space="preserve"> por </w:t>
      </w:r>
      <w:r w:rsidR="00217F82">
        <w:rPr>
          <w:rFonts w:ascii="Myriad Pro" w:eastAsiaTheme="minorHAnsi" w:hAnsi="Myriad Pro" w:cstheme="minorBidi"/>
          <w:color w:val="2E3B5D"/>
          <w:sz w:val="21"/>
          <w:lang w:val="es-CL" w:eastAsia="en-US"/>
        </w:rPr>
        <w:t xml:space="preserve">la </w:t>
      </w:r>
      <w:r w:rsidR="00A11E36">
        <w:rPr>
          <w:rFonts w:ascii="Myriad Pro" w:eastAsiaTheme="minorHAnsi" w:hAnsi="Myriad Pro" w:cstheme="minorBidi"/>
          <w:color w:val="2E3B5D"/>
          <w:sz w:val="21"/>
          <w:lang w:val="es-CL" w:eastAsia="en-US"/>
        </w:rPr>
        <w:t xml:space="preserve">deuda de corto plazo </w:t>
      </w:r>
      <w:r w:rsidR="00217F82">
        <w:rPr>
          <w:rFonts w:ascii="Myriad Pro" w:eastAsiaTheme="minorHAnsi" w:hAnsi="Myriad Pro" w:cstheme="minorBidi"/>
          <w:color w:val="2E3B5D"/>
          <w:sz w:val="21"/>
          <w:lang w:val="es-CL" w:eastAsia="en-US"/>
        </w:rPr>
        <w:t>susceptible</w:t>
      </w:r>
      <w:r w:rsidR="00615FDB">
        <w:rPr>
          <w:rFonts w:ascii="Myriad Pro" w:eastAsiaTheme="minorHAnsi" w:hAnsi="Myriad Pro" w:cstheme="minorBidi"/>
          <w:color w:val="2E3B5D"/>
          <w:sz w:val="21"/>
          <w:lang w:val="es-CL" w:eastAsia="en-US"/>
        </w:rPr>
        <w:t xml:space="preserve"> de </w:t>
      </w:r>
      <w:r w:rsidR="00A11E36">
        <w:rPr>
          <w:rFonts w:ascii="Myriad Pro" w:eastAsiaTheme="minorHAnsi" w:hAnsi="Myriad Pro" w:cstheme="minorBidi"/>
          <w:color w:val="2E3B5D"/>
          <w:sz w:val="21"/>
          <w:lang w:val="es-CL" w:eastAsia="en-US"/>
        </w:rPr>
        <w:t>paga</w:t>
      </w:r>
      <w:r w:rsidR="00615FDB">
        <w:rPr>
          <w:rFonts w:ascii="Myriad Pro" w:eastAsiaTheme="minorHAnsi" w:hAnsi="Myriad Pro" w:cstheme="minorBidi"/>
          <w:color w:val="2E3B5D"/>
          <w:sz w:val="21"/>
          <w:lang w:val="es-CL" w:eastAsia="en-US"/>
        </w:rPr>
        <w:t>r</w:t>
      </w:r>
      <w:r w:rsidR="00A11E36">
        <w:rPr>
          <w:rFonts w:ascii="Myriad Pro" w:eastAsiaTheme="minorHAnsi" w:hAnsi="Myriad Pro" w:cstheme="minorBidi"/>
          <w:color w:val="2E3B5D"/>
          <w:sz w:val="21"/>
          <w:lang w:val="es-CL" w:eastAsia="en-US"/>
        </w:rPr>
        <w:t xml:space="preserve"> con la venta de inventarios, </w:t>
      </w:r>
      <w:r w:rsidR="00D12A43">
        <w:rPr>
          <w:rFonts w:ascii="Myriad Pro" w:eastAsiaTheme="minorHAnsi" w:hAnsi="Myriad Pro" w:cstheme="minorBidi"/>
          <w:color w:val="2E3B5D"/>
          <w:sz w:val="21"/>
          <w:lang w:val="es-CL" w:eastAsia="en-US"/>
        </w:rPr>
        <w:t xml:space="preserve">el </w:t>
      </w:r>
      <w:r w:rsidR="00D12A43" w:rsidRPr="007D1D78">
        <w:rPr>
          <w:rFonts w:ascii="Myriad Pro" w:eastAsiaTheme="minorHAnsi" w:hAnsi="Myriad Pro" w:cstheme="minorBidi"/>
          <w:i/>
          <w:iCs/>
          <w:color w:val="2E3B5D"/>
          <w:sz w:val="21"/>
          <w:lang w:val="es-CL" w:eastAsia="en-US"/>
        </w:rPr>
        <w:t>ratio</w:t>
      </w:r>
      <w:r w:rsidR="00D12A43">
        <w:rPr>
          <w:rFonts w:ascii="Myriad Pro" w:eastAsiaTheme="minorHAnsi" w:hAnsi="Myriad Pro" w:cstheme="minorBidi"/>
          <w:color w:val="2E3B5D"/>
          <w:sz w:val="21"/>
          <w:lang w:val="es-CL" w:eastAsia="en-US"/>
        </w:rPr>
        <w:t xml:space="preserve"> </w:t>
      </w:r>
      <w:r w:rsidR="001577AB">
        <w:rPr>
          <w:rFonts w:ascii="Myriad Pro" w:eastAsiaTheme="minorHAnsi" w:hAnsi="Myriad Pro" w:cstheme="minorBidi"/>
          <w:color w:val="2E3B5D"/>
          <w:sz w:val="21"/>
          <w:lang w:val="es-CL" w:eastAsia="en-US"/>
        </w:rPr>
        <w:t>ronda las 3,0 veces</w:t>
      </w:r>
      <w:r w:rsidR="00D12A43">
        <w:rPr>
          <w:rFonts w:ascii="Myriad Pro" w:eastAsiaTheme="minorHAnsi" w:hAnsi="Myriad Pro" w:cstheme="minorBidi"/>
          <w:color w:val="2E3B5D"/>
          <w:sz w:val="21"/>
          <w:lang w:val="es-CL" w:eastAsia="en-US"/>
        </w:rPr>
        <w:t xml:space="preserve"> a junio de 2021</w:t>
      </w:r>
      <w:r w:rsidR="00691D6A">
        <w:rPr>
          <w:rFonts w:ascii="Myriad Pro" w:eastAsiaTheme="minorHAnsi" w:hAnsi="Myriad Pro" w:cstheme="minorBidi"/>
          <w:color w:val="2E3B5D"/>
          <w:sz w:val="21"/>
          <w:lang w:val="es-CL" w:eastAsia="en-US"/>
        </w:rPr>
        <w:t xml:space="preserve">. </w:t>
      </w:r>
      <w:r w:rsidR="00DD69D3">
        <w:rPr>
          <w:rFonts w:ascii="Myriad Pro" w:eastAsiaTheme="minorHAnsi" w:hAnsi="Myriad Pro" w:cstheme="minorBidi"/>
          <w:color w:val="2E3B5D"/>
          <w:sz w:val="21"/>
          <w:lang w:val="es-CL" w:eastAsia="en-US"/>
        </w:rPr>
        <w:t xml:space="preserve">La baja en los indicadores </w:t>
      </w:r>
      <w:r w:rsidR="007B01FD">
        <w:rPr>
          <w:rFonts w:ascii="Myriad Pro" w:eastAsiaTheme="minorHAnsi" w:hAnsi="Myriad Pro" w:cstheme="minorBidi"/>
          <w:color w:val="2E3B5D"/>
          <w:sz w:val="21"/>
          <w:lang w:val="es-CL" w:eastAsia="en-US"/>
        </w:rPr>
        <w:t>relativos de deuda</w:t>
      </w:r>
      <w:r w:rsidR="00DD69D3">
        <w:rPr>
          <w:rFonts w:ascii="Myriad Pro" w:eastAsiaTheme="minorHAnsi" w:hAnsi="Myriad Pro" w:cstheme="minorBidi"/>
          <w:color w:val="2E3B5D"/>
          <w:sz w:val="21"/>
          <w:lang w:val="es-CL" w:eastAsia="en-US"/>
        </w:rPr>
        <w:t xml:space="preserve"> se explica principalmente </w:t>
      </w:r>
      <w:r w:rsidR="00DD69D3" w:rsidRPr="005B1259">
        <w:rPr>
          <w:rFonts w:ascii="Myriad Pro" w:eastAsiaTheme="minorHAnsi" w:hAnsi="Myriad Pro" w:cstheme="minorBidi"/>
          <w:color w:val="2E3B5D"/>
          <w:sz w:val="21"/>
          <w:lang w:val="es-CL" w:eastAsia="en-US"/>
        </w:rPr>
        <w:t>por</w:t>
      </w:r>
      <w:r w:rsidR="00D12A43" w:rsidRPr="005B1259">
        <w:rPr>
          <w:rFonts w:ascii="Myriad Pro" w:eastAsiaTheme="minorHAnsi" w:hAnsi="Myriad Pro" w:cstheme="minorBidi"/>
          <w:color w:val="2E3B5D"/>
          <w:sz w:val="21"/>
          <w:lang w:val="es-CL" w:eastAsia="en-US"/>
        </w:rPr>
        <w:t xml:space="preserve"> una mayor capacidad generadora de flujos por parte de la sociedad</w:t>
      </w:r>
      <w:r w:rsidR="00DD69D3" w:rsidRPr="005B1259">
        <w:rPr>
          <w:rFonts w:ascii="Myriad Pro" w:eastAsiaTheme="minorHAnsi" w:hAnsi="Myriad Pro" w:cstheme="minorBidi"/>
          <w:color w:val="2E3B5D"/>
          <w:sz w:val="21"/>
          <w:lang w:val="es-CL" w:eastAsia="en-US"/>
        </w:rPr>
        <w:t>.</w:t>
      </w:r>
    </w:p>
    <w:p w14:paraId="3EC781E0" w14:textId="7EFEF0E2" w:rsidR="00666F20" w:rsidRDefault="00A73B90" w:rsidP="007C18CE">
      <w:pPr>
        <w:pStyle w:val="Sangradetextonormal"/>
        <w:keepNext/>
        <w:tabs>
          <w:tab w:val="left" w:pos="993"/>
        </w:tabs>
        <w:ind w:left="0"/>
        <w:jc w:val="center"/>
        <w:rPr>
          <w:noProof/>
        </w:rPr>
      </w:pPr>
      <w:r>
        <w:rPr>
          <w:noProof/>
        </w:rPr>
        <w:drawing>
          <wp:inline distT="0" distB="0" distL="0" distR="0" wp14:anchorId="156C047E" wp14:editId="23D0BAA7">
            <wp:extent cx="5257800" cy="2533650"/>
            <wp:effectExtent l="0" t="0" r="0" b="0"/>
            <wp:docPr id="17" name="Gráfico 17">
              <a:extLst xmlns:a="http://schemas.openxmlformats.org/drawingml/2006/main">
                <a:ext uri="{FF2B5EF4-FFF2-40B4-BE49-F238E27FC236}">
                  <a16:creationId xmlns:a16="http://schemas.microsoft.com/office/drawing/2014/main" id="{01BD77CF-85B8-4CEB-BD47-839B8A643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2DB80A" w14:textId="4FC90657" w:rsidR="00BA24ED" w:rsidRDefault="00666F20" w:rsidP="007C18CE">
      <w:pPr>
        <w:pStyle w:val="Descripcin"/>
        <w:spacing w:after="120"/>
        <w:rPr>
          <w:sz w:val="21"/>
        </w:rPr>
      </w:pPr>
      <w:r w:rsidRPr="00A73B90">
        <w:t xml:space="preserve">Ilustración </w:t>
      </w:r>
      <w:r w:rsidR="000179F4">
        <w:fldChar w:fldCharType="begin"/>
      </w:r>
      <w:r w:rsidR="000179F4">
        <w:instrText xml:space="preserve"> SEQ Ilustración \* ARABIC </w:instrText>
      </w:r>
      <w:r w:rsidR="000179F4">
        <w:fldChar w:fldCharType="separate"/>
      </w:r>
      <w:r w:rsidR="000179F4">
        <w:rPr>
          <w:noProof/>
        </w:rPr>
        <w:t>7</w:t>
      </w:r>
      <w:r w:rsidR="000179F4">
        <w:rPr>
          <w:noProof/>
        </w:rPr>
        <w:fldChar w:fldCharType="end"/>
      </w:r>
      <w:r w:rsidRPr="00A73B90">
        <w:t>: Deuda Financiera, EBITDA, Flujo de Caja de Largo Plazo (2016 – junio 2021)</w:t>
      </w:r>
    </w:p>
    <w:p w14:paraId="47CB18C7" w14:textId="7A1F0DEC" w:rsidR="00664838" w:rsidRPr="009E304E" w:rsidRDefault="00246E77" w:rsidP="007C18CE">
      <w:pPr>
        <w:pStyle w:val="Sangradetextonormal"/>
        <w:tabs>
          <w:tab w:val="left" w:pos="993"/>
        </w:tabs>
        <w:ind w:left="0"/>
        <w:jc w:val="both"/>
        <w:rPr>
          <w:rFonts w:ascii="Myriad Pro" w:eastAsiaTheme="minorHAnsi" w:hAnsi="Myriad Pro" w:cstheme="minorBidi"/>
          <w:color w:val="2E3B5D"/>
          <w:sz w:val="21"/>
          <w:highlight w:val="yellow"/>
          <w:lang w:val="es-CL" w:eastAsia="en-US"/>
        </w:rPr>
      </w:pPr>
      <w:r w:rsidRPr="00246E77">
        <w:rPr>
          <w:rFonts w:ascii="Myriad Pro" w:eastAsiaTheme="minorHAnsi" w:hAnsi="Myriad Pro" w:cstheme="minorBidi"/>
          <w:color w:val="2E3B5D"/>
          <w:sz w:val="21"/>
          <w:lang w:val="es-CL" w:eastAsia="en-US"/>
        </w:rPr>
        <w:t xml:space="preserve">En cuanto al </w:t>
      </w:r>
      <w:r w:rsidRPr="000B160B">
        <w:rPr>
          <w:rFonts w:ascii="Myriad Pro" w:eastAsiaTheme="minorHAnsi" w:hAnsi="Myriad Pro" w:cstheme="minorBidi"/>
          <w:color w:val="2E3B5D"/>
          <w:sz w:val="21"/>
          <w:lang w:val="es-CL" w:eastAsia="en-US"/>
        </w:rPr>
        <w:t xml:space="preserve">perfil de vencimientos de los pasivos de </w:t>
      </w:r>
      <w:r w:rsidR="008944B7" w:rsidRPr="000B160B">
        <w:rPr>
          <w:rFonts w:ascii="Myriad Pro" w:eastAsiaTheme="minorHAnsi" w:hAnsi="Myriad Pro" w:cstheme="minorBidi"/>
          <w:b/>
          <w:bCs/>
          <w:color w:val="2E3B5D"/>
          <w:sz w:val="21"/>
          <w:lang w:val="es-CL" w:eastAsia="en-US"/>
        </w:rPr>
        <w:t>MK</w:t>
      </w:r>
      <w:r w:rsidRPr="000B160B">
        <w:rPr>
          <w:rFonts w:ascii="Myriad Pro" w:eastAsiaTheme="minorHAnsi" w:hAnsi="Myriad Pro" w:cstheme="minorBidi"/>
          <w:color w:val="2E3B5D"/>
          <w:sz w:val="21"/>
          <w:lang w:val="es-CL" w:eastAsia="en-US"/>
        </w:rPr>
        <w:t xml:space="preserve"> se observa que</w:t>
      </w:r>
      <w:r w:rsidR="002F083B" w:rsidRPr="000B160B">
        <w:rPr>
          <w:rFonts w:ascii="Myriad Pro" w:eastAsiaTheme="minorHAnsi" w:hAnsi="Myriad Pro" w:cstheme="minorBidi"/>
          <w:color w:val="2E3B5D"/>
          <w:sz w:val="21"/>
          <w:lang w:val="es-CL" w:eastAsia="en-US"/>
        </w:rPr>
        <w:t xml:space="preserve"> entre 2021 y 2025</w:t>
      </w:r>
      <w:r w:rsidRPr="000B160B">
        <w:rPr>
          <w:rFonts w:ascii="Myriad Pro" w:eastAsiaTheme="minorHAnsi" w:hAnsi="Myriad Pro" w:cstheme="minorBidi"/>
          <w:color w:val="2E3B5D"/>
          <w:sz w:val="21"/>
          <w:lang w:val="es-CL" w:eastAsia="en-US"/>
        </w:rPr>
        <w:t xml:space="preserve"> posee holgura</w:t>
      </w:r>
      <w:r w:rsidR="0024457C" w:rsidRPr="000B160B">
        <w:rPr>
          <w:rFonts w:ascii="Myriad Pro" w:eastAsiaTheme="minorHAnsi" w:hAnsi="Myriad Pro" w:cstheme="minorBidi"/>
          <w:color w:val="2E3B5D"/>
          <w:sz w:val="21"/>
          <w:lang w:val="es-CL" w:eastAsia="en-US"/>
        </w:rPr>
        <w:t xml:space="preserve"> </w:t>
      </w:r>
      <w:r w:rsidR="002F083B" w:rsidRPr="000B160B">
        <w:rPr>
          <w:rFonts w:ascii="Myriad Pro" w:eastAsiaTheme="minorHAnsi" w:hAnsi="Myriad Pro" w:cstheme="minorBidi"/>
          <w:color w:val="2E3B5D"/>
          <w:sz w:val="21"/>
          <w:lang w:val="es-CL" w:eastAsia="en-US"/>
        </w:rPr>
        <w:t xml:space="preserve">de pago </w:t>
      </w:r>
      <w:r w:rsidRPr="000B160B">
        <w:rPr>
          <w:rFonts w:ascii="Myriad Pro" w:eastAsiaTheme="minorHAnsi" w:hAnsi="Myriad Pro" w:cstheme="minorBidi"/>
          <w:color w:val="2E3B5D"/>
          <w:sz w:val="21"/>
          <w:lang w:val="es-CL" w:eastAsia="en-US"/>
        </w:rPr>
        <w:t>de sus obligaciones financieras respecto al EBITDA y FCLP</w:t>
      </w:r>
      <w:r w:rsidR="00FA706B" w:rsidRPr="000B160B">
        <w:rPr>
          <w:rFonts w:ascii="Myriad Pro" w:eastAsiaTheme="minorHAnsi" w:hAnsi="Myriad Pro" w:cstheme="minorBidi"/>
          <w:color w:val="2E3B5D"/>
          <w:sz w:val="21"/>
          <w:lang w:val="es-CL" w:eastAsia="en-US"/>
        </w:rPr>
        <w:t>. Sin embargo</w:t>
      </w:r>
      <w:r w:rsidR="000B160B" w:rsidRPr="000B160B">
        <w:rPr>
          <w:rFonts w:ascii="Myriad Pro" w:eastAsiaTheme="minorHAnsi" w:hAnsi="Myriad Pro" w:cstheme="minorBidi"/>
          <w:color w:val="2E3B5D"/>
          <w:sz w:val="21"/>
          <w:lang w:val="es-CL" w:eastAsia="en-US"/>
        </w:rPr>
        <w:t xml:space="preserve">, </w:t>
      </w:r>
      <w:r w:rsidR="00FA706B" w:rsidRPr="000B160B">
        <w:rPr>
          <w:rFonts w:ascii="Myriad Pro" w:eastAsiaTheme="minorHAnsi" w:hAnsi="Myriad Pro" w:cstheme="minorBidi"/>
          <w:color w:val="2E3B5D"/>
          <w:sz w:val="21"/>
          <w:lang w:val="es-CL" w:eastAsia="en-US"/>
        </w:rPr>
        <w:t>en</w:t>
      </w:r>
      <w:r w:rsidR="008944B7" w:rsidRPr="000B160B">
        <w:rPr>
          <w:rFonts w:ascii="Myriad Pro" w:eastAsiaTheme="minorHAnsi" w:hAnsi="Myriad Pro" w:cstheme="minorBidi"/>
          <w:color w:val="2E3B5D"/>
          <w:sz w:val="21"/>
          <w:lang w:val="es-CL" w:eastAsia="en-US"/>
        </w:rPr>
        <w:t xml:space="preserve"> </w:t>
      </w:r>
      <w:r w:rsidR="00460F3E">
        <w:rPr>
          <w:rFonts w:ascii="Myriad Pro" w:eastAsiaTheme="minorHAnsi" w:hAnsi="Myriad Pro" w:cstheme="minorBidi"/>
          <w:color w:val="2E3B5D"/>
          <w:sz w:val="21"/>
          <w:lang w:val="es-CL" w:eastAsia="en-US"/>
        </w:rPr>
        <w:t>2026</w:t>
      </w:r>
      <w:r w:rsidR="00811ED0" w:rsidRPr="000B160B">
        <w:rPr>
          <w:rFonts w:ascii="Myriad Pro" w:eastAsiaTheme="minorHAnsi" w:hAnsi="Myriad Pro" w:cstheme="minorBidi"/>
          <w:color w:val="2E3B5D"/>
          <w:sz w:val="21"/>
          <w:lang w:val="es-CL" w:eastAsia="en-US"/>
        </w:rPr>
        <w:t xml:space="preserve"> </w:t>
      </w:r>
      <w:r w:rsidR="000B160B" w:rsidRPr="000B160B">
        <w:rPr>
          <w:rFonts w:ascii="Myriad Pro" w:eastAsiaTheme="minorHAnsi" w:hAnsi="Myriad Pro" w:cstheme="minorBidi"/>
          <w:color w:val="2E3B5D"/>
          <w:sz w:val="21"/>
          <w:lang w:val="es-CL" w:eastAsia="en-US"/>
        </w:rPr>
        <w:t>se exhibe un</w:t>
      </w:r>
      <w:r w:rsidR="007B2F94" w:rsidRPr="000B160B">
        <w:rPr>
          <w:rFonts w:ascii="Myriad Pro" w:eastAsiaTheme="minorHAnsi" w:hAnsi="Myriad Pro" w:cstheme="minorBidi"/>
          <w:color w:val="2E3B5D"/>
          <w:sz w:val="21"/>
          <w:lang w:val="es-CL" w:eastAsia="en-US"/>
        </w:rPr>
        <w:t xml:space="preserve"> vencimiento </w:t>
      </w:r>
      <w:r w:rsidR="007B2F94" w:rsidRPr="000B160B">
        <w:rPr>
          <w:rFonts w:ascii="Myriad Pro" w:eastAsiaTheme="minorHAnsi" w:hAnsi="Myriad Pro" w:cstheme="minorBidi"/>
          <w:color w:val="2E3B5D"/>
          <w:sz w:val="21"/>
          <w:lang w:val="es-CL" w:eastAsia="en-US"/>
        </w:rPr>
        <w:lastRenderedPageBreak/>
        <w:t xml:space="preserve">por </w:t>
      </w:r>
      <w:r w:rsidR="000A7387">
        <w:rPr>
          <w:rFonts w:ascii="Myriad Pro" w:eastAsiaTheme="minorHAnsi" w:hAnsi="Myriad Pro" w:cstheme="minorBidi"/>
          <w:color w:val="2E3B5D"/>
          <w:sz w:val="21"/>
          <w:lang w:val="es-CL" w:eastAsia="en-US"/>
        </w:rPr>
        <w:t>UF</w:t>
      </w:r>
      <w:r w:rsidR="00C71AF8">
        <w:rPr>
          <w:rFonts w:ascii="Myriad Pro" w:eastAsiaTheme="minorHAnsi" w:hAnsi="Myriad Pro" w:cstheme="minorBidi"/>
          <w:color w:val="2E3B5D"/>
          <w:sz w:val="21"/>
          <w:lang w:val="es-CL" w:eastAsia="en-US"/>
        </w:rPr>
        <w:t xml:space="preserve"> </w:t>
      </w:r>
      <w:r w:rsidR="000A7387" w:rsidRPr="000A7387">
        <w:rPr>
          <w:rFonts w:ascii="Myriad Pro" w:eastAsiaTheme="minorHAnsi" w:hAnsi="Myriad Pro" w:cstheme="minorBidi"/>
          <w:color w:val="2E3B5D"/>
          <w:sz w:val="21"/>
          <w:lang w:val="es-CL" w:eastAsia="en-US"/>
        </w:rPr>
        <w:t>1.03</w:t>
      </w:r>
      <w:r w:rsidR="001B6F11">
        <w:rPr>
          <w:rFonts w:ascii="Myriad Pro" w:eastAsiaTheme="minorHAnsi" w:hAnsi="Myriad Pro" w:cstheme="minorBidi"/>
          <w:color w:val="2E3B5D"/>
          <w:sz w:val="21"/>
          <w:lang w:val="es-CL" w:eastAsia="en-US"/>
        </w:rPr>
        <w:t>8 millones</w:t>
      </w:r>
      <w:r w:rsidR="000A7387" w:rsidRPr="000A7387">
        <w:rPr>
          <w:rFonts w:ascii="Myriad Pro" w:eastAsiaTheme="minorHAnsi" w:hAnsi="Myriad Pro" w:cstheme="minorBidi"/>
          <w:color w:val="2E3B5D"/>
          <w:sz w:val="21"/>
          <w:lang w:val="es-CL" w:eastAsia="en-US"/>
        </w:rPr>
        <w:t xml:space="preserve"> </w:t>
      </w:r>
      <w:r w:rsidR="007B2F94" w:rsidRPr="000B160B">
        <w:rPr>
          <w:rFonts w:ascii="Myriad Pro" w:eastAsiaTheme="minorHAnsi" w:hAnsi="Myriad Pro" w:cstheme="minorBidi"/>
          <w:color w:val="2E3B5D"/>
          <w:sz w:val="21"/>
          <w:lang w:val="es-CL" w:eastAsia="en-US"/>
        </w:rPr>
        <w:t xml:space="preserve">(bono con estructuración </w:t>
      </w:r>
      <w:proofErr w:type="spellStart"/>
      <w:r w:rsidR="007B2F94" w:rsidRPr="000B160B">
        <w:rPr>
          <w:rFonts w:ascii="Myriad Pro" w:eastAsiaTheme="minorHAnsi" w:hAnsi="Myriad Pro" w:cstheme="minorBidi"/>
          <w:i/>
          <w:iCs/>
          <w:color w:val="2E3B5D"/>
          <w:sz w:val="21"/>
          <w:lang w:val="es-CL" w:eastAsia="en-US"/>
        </w:rPr>
        <w:t>bullet</w:t>
      </w:r>
      <w:proofErr w:type="spellEnd"/>
      <w:r w:rsidR="00FA706B" w:rsidRPr="000B160B">
        <w:rPr>
          <w:rFonts w:ascii="Myriad Pro" w:eastAsiaTheme="minorHAnsi" w:hAnsi="Myriad Pro" w:cstheme="minorBidi"/>
          <w:color w:val="2E3B5D"/>
          <w:sz w:val="21"/>
          <w:lang w:val="es-CL" w:eastAsia="en-US"/>
        </w:rPr>
        <w:t>)</w:t>
      </w:r>
      <w:r w:rsidR="00C744B5" w:rsidRPr="000B160B">
        <w:rPr>
          <w:rFonts w:ascii="Myriad Pro" w:eastAsiaTheme="minorHAnsi" w:hAnsi="Myriad Pro" w:cstheme="minorBidi"/>
          <w:color w:val="2E3B5D"/>
          <w:sz w:val="21"/>
          <w:lang w:val="es-CL" w:eastAsia="en-US"/>
        </w:rPr>
        <w:t>,</w:t>
      </w:r>
      <w:r w:rsidR="009E304E" w:rsidRPr="000B160B">
        <w:rPr>
          <w:rFonts w:ascii="Myriad Pro" w:eastAsiaTheme="minorHAnsi" w:hAnsi="Myriad Pro" w:cstheme="minorBidi"/>
          <w:color w:val="2E3B5D"/>
          <w:sz w:val="21"/>
          <w:lang w:val="es-CL" w:eastAsia="en-US"/>
        </w:rPr>
        <w:t xml:space="preserve"> </w:t>
      </w:r>
      <w:r w:rsidR="000D4725" w:rsidRPr="000B160B">
        <w:rPr>
          <w:rFonts w:ascii="Myriad Pro" w:eastAsiaTheme="minorHAnsi" w:hAnsi="Myriad Pro" w:cstheme="minorBidi"/>
          <w:color w:val="2E3B5D"/>
          <w:sz w:val="21"/>
          <w:lang w:val="es-CL" w:eastAsia="en-US"/>
        </w:rPr>
        <w:t>que se asume, debiese refinanciarse en ese periodo</w:t>
      </w:r>
      <w:r w:rsidR="002A1E63">
        <w:rPr>
          <w:rFonts w:ascii="Myriad Pro" w:eastAsiaTheme="minorHAnsi" w:hAnsi="Myriad Pro" w:cstheme="minorBidi"/>
          <w:color w:val="2E3B5D"/>
          <w:sz w:val="21"/>
          <w:lang w:val="es-CL" w:eastAsia="en-US"/>
        </w:rPr>
        <w:t xml:space="preserve"> (</w:t>
      </w:r>
      <w:r w:rsidR="008978B3">
        <w:rPr>
          <w:rFonts w:ascii="Myriad Pro" w:eastAsiaTheme="minorHAnsi" w:hAnsi="Myriad Pro" w:cstheme="minorBidi"/>
          <w:color w:val="2E3B5D"/>
          <w:sz w:val="21"/>
          <w:lang w:val="es-CL" w:eastAsia="en-US"/>
        </w:rPr>
        <w:t>en un escenario que considera</w:t>
      </w:r>
      <w:r w:rsidR="00417AAA">
        <w:rPr>
          <w:rFonts w:ascii="Myriad Pro" w:eastAsiaTheme="minorHAnsi" w:hAnsi="Myriad Pro" w:cstheme="minorBidi"/>
          <w:color w:val="2E3B5D"/>
          <w:sz w:val="21"/>
          <w:lang w:val="es-CL" w:eastAsia="en-US"/>
        </w:rPr>
        <w:t xml:space="preserve"> flujos estables, sin</w:t>
      </w:r>
      <w:r w:rsidR="008978B3">
        <w:rPr>
          <w:rFonts w:ascii="Myriad Pro" w:eastAsiaTheme="minorHAnsi" w:hAnsi="Myriad Pro" w:cstheme="minorBidi"/>
          <w:color w:val="2E3B5D"/>
          <w:sz w:val="21"/>
          <w:lang w:val="es-CL" w:eastAsia="en-US"/>
        </w:rPr>
        <w:t xml:space="preserve"> crecimiento</w:t>
      </w:r>
      <w:r w:rsidR="008978B3" w:rsidRPr="00760E58">
        <w:rPr>
          <w:rFonts w:ascii="Myriad Pro" w:eastAsiaTheme="minorHAnsi" w:hAnsi="Myriad Pro" w:cstheme="minorBidi"/>
          <w:color w:val="2E3B5D"/>
          <w:sz w:val="21"/>
          <w:lang w:val="es-CL" w:eastAsia="en-US"/>
        </w:rPr>
        <w:t>)</w:t>
      </w:r>
      <w:r w:rsidR="002A1E63" w:rsidRPr="00760E58">
        <w:rPr>
          <w:rFonts w:ascii="Myriad Pro" w:eastAsiaTheme="minorHAnsi" w:hAnsi="Myriad Pro" w:cstheme="minorBidi"/>
          <w:color w:val="2E3B5D"/>
          <w:sz w:val="21"/>
          <w:lang w:val="es-CL" w:eastAsia="en-US"/>
        </w:rPr>
        <w:t xml:space="preserve">, </w:t>
      </w:r>
      <w:r w:rsidRPr="00760E58">
        <w:rPr>
          <w:rFonts w:ascii="Myriad Pro" w:eastAsiaTheme="minorHAnsi" w:hAnsi="Myriad Pro" w:cstheme="minorBidi"/>
          <w:color w:val="2E3B5D"/>
          <w:sz w:val="21"/>
          <w:lang w:val="es-CL" w:eastAsia="en-US"/>
        </w:rPr>
        <w:t xml:space="preserve">tal como se muestra en la Ilustración </w:t>
      </w:r>
      <w:r w:rsidR="00DC49D9" w:rsidRPr="00760E58">
        <w:rPr>
          <w:rFonts w:ascii="Myriad Pro" w:eastAsiaTheme="minorHAnsi" w:hAnsi="Myriad Pro" w:cstheme="minorBidi"/>
          <w:color w:val="2E3B5D"/>
          <w:sz w:val="21"/>
          <w:lang w:val="es-CL" w:eastAsia="en-US"/>
        </w:rPr>
        <w:t>8</w:t>
      </w:r>
      <w:r w:rsidRPr="00760E58">
        <w:rPr>
          <w:rFonts w:ascii="Myriad Pro" w:eastAsiaTheme="minorHAnsi" w:hAnsi="Myriad Pro" w:cstheme="minorBidi"/>
          <w:color w:val="2E3B5D"/>
          <w:sz w:val="21"/>
          <w:lang w:val="es-CL" w:eastAsia="en-US"/>
        </w:rPr>
        <w:t>.</w:t>
      </w:r>
      <w:r w:rsidRPr="00246E77">
        <w:rPr>
          <w:rFonts w:ascii="Myriad Pro" w:eastAsiaTheme="minorHAnsi" w:hAnsi="Myriad Pro" w:cstheme="minorBidi"/>
          <w:color w:val="2E3B5D"/>
          <w:sz w:val="21"/>
          <w:lang w:val="es-CL" w:eastAsia="en-US"/>
        </w:rPr>
        <w:t xml:space="preserve"> </w:t>
      </w:r>
    </w:p>
    <w:p w14:paraId="2B74DEB1" w14:textId="1E9A2F64" w:rsidR="00AF7C71" w:rsidRDefault="004A7AEA" w:rsidP="007C18CE">
      <w:pPr>
        <w:spacing w:after="120"/>
        <w:jc w:val="center"/>
      </w:pPr>
      <w:r>
        <w:rPr>
          <w:noProof/>
        </w:rPr>
        <w:drawing>
          <wp:inline distT="0" distB="0" distL="0" distR="0" wp14:anchorId="1C18D9A9" wp14:editId="00AB2135">
            <wp:extent cx="4981575" cy="2514600"/>
            <wp:effectExtent l="0" t="0" r="0" b="0"/>
            <wp:docPr id="19" name="Gráfico 19">
              <a:extLst xmlns:a="http://schemas.openxmlformats.org/drawingml/2006/main">
                <a:ext uri="{FF2B5EF4-FFF2-40B4-BE49-F238E27FC236}">
                  <a16:creationId xmlns:a16="http://schemas.microsoft.com/office/drawing/2014/main" id="{7F3BC8A7-6202-438A-A7A4-B56F0E202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834A66" w14:textId="4F9FD40B" w:rsidR="00246E77" w:rsidRDefault="00D16CE5" w:rsidP="007C18CE">
      <w:pPr>
        <w:pStyle w:val="Descripcin"/>
        <w:spacing w:after="120"/>
      </w:pPr>
      <w:r w:rsidRPr="004A7AEA">
        <w:t xml:space="preserve">lustración </w:t>
      </w:r>
      <w:r w:rsidR="000179F4">
        <w:fldChar w:fldCharType="begin"/>
      </w:r>
      <w:r w:rsidR="000179F4">
        <w:instrText xml:space="preserve"> SEQ Ilustración \* ARABIC </w:instrText>
      </w:r>
      <w:r w:rsidR="000179F4">
        <w:fldChar w:fldCharType="separate"/>
      </w:r>
      <w:r w:rsidR="000179F4">
        <w:rPr>
          <w:noProof/>
        </w:rPr>
        <w:t>8</w:t>
      </w:r>
      <w:r w:rsidR="000179F4">
        <w:rPr>
          <w:noProof/>
        </w:rPr>
        <w:fldChar w:fldCharType="end"/>
      </w:r>
      <w:r w:rsidRPr="004A7AEA">
        <w:t xml:space="preserve">: Calendario de Vencimientos </w:t>
      </w:r>
      <w:r w:rsidR="001E0558" w:rsidRPr="004A7AEA">
        <w:rPr>
          <w:b/>
          <w:bCs/>
        </w:rPr>
        <w:t>MK</w:t>
      </w:r>
      <w:r w:rsidRPr="004A7AEA">
        <w:rPr>
          <w:b/>
          <w:bCs/>
        </w:rPr>
        <w:t xml:space="preserve"> </w:t>
      </w:r>
      <w:r w:rsidRPr="004A7AEA">
        <w:t>(2021-20</w:t>
      </w:r>
      <w:r w:rsidR="001E0558" w:rsidRPr="004A7AEA">
        <w:t>2</w:t>
      </w:r>
      <w:r w:rsidR="0058659A" w:rsidRPr="004A7AEA">
        <w:t>6</w:t>
      </w:r>
      <w:r w:rsidRPr="004A7AEA">
        <w:t>)</w:t>
      </w:r>
    </w:p>
    <w:p w14:paraId="75FC868C" w14:textId="77777777" w:rsidR="00ED3A2D" w:rsidRDefault="00ED3A2D" w:rsidP="007C18CE">
      <w:pPr>
        <w:pStyle w:val="Ttulo"/>
        <w:spacing w:after="120" w:line="240" w:lineRule="auto"/>
        <w:rPr>
          <w:lang w:val="es-ES"/>
        </w:rPr>
      </w:pPr>
    </w:p>
    <w:p w14:paraId="7F43BEF3" w14:textId="1D12D184" w:rsidR="00E209EF" w:rsidRPr="005E7C00" w:rsidRDefault="00073442" w:rsidP="007C18CE">
      <w:pPr>
        <w:pStyle w:val="Ttulo"/>
        <w:rPr>
          <w:lang w:val="es-ES"/>
        </w:rPr>
      </w:pPr>
      <w:r>
        <w:rPr>
          <w:lang w:val="es-ES"/>
        </w:rPr>
        <w:t>L</w:t>
      </w:r>
      <w:r w:rsidR="00E209EF">
        <w:rPr>
          <w:lang w:val="es-ES"/>
        </w:rPr>
        <w:t>iquidez</w:t>
      </w:r>
    </w:p>
    <w:p w14:paraId="7055335F" w14:textId="19C6B27A" w:rsidR="000061C9" w:rsidRPr="000061C9" w:rsidRDefault="00413E98" w:rsidP="007C18CE">
      <w:pPr>
        <w:pStyle w:val="Sangradetextonormal"/>
        <w:tabs>
          <w:tab w:val="left" w:pos="993"/>
        </w:tabs>
        <w:ind w:left="0"/>
        <w:jc w:val="both"/>
        <w:rPr>
          <w:rFonts w:ascii="Myriad Pro" w:eastAsiaTheme="minorHAnsi" w:hAnsi="Myriad Pro" w:cstheme="minorBidi"/>
          <w:color w:val="2E3B5D"/>
          <w:sz w:val="21"/>
          <w:lang w:val="es-CL" w:eastAsia="en-US"/>
        </w:rPr>
      </w:pPr>
      <w:r w:rsidRPr="00413E98">
        <w:rPr>
          <w:rFonts w:ascii="Myriad Pro" w:eastAsiaTheme="minorHAnsi" w:hAnsi="Myriad Pro" w:cstheme="minorBidi"/>
          <w:color w:val="2E3B5D"/>
          <w:sz w:val="21"/>
          <w:lang w:val="es-CL" w:eastAsia="en-US"/>
        </w:rPr>
        <w:t xml:space="preserve">La liquidez </w:t>
      </w:r>
      <w:r w:rsidR="009A4B79">
        <w:rPr>
          <w:rFonts w:ascii="Myriad Pro" w:eastAsiaTheme="minorHAnsi" w:hAnsi="Myriad Pro" w:cstheme="minorBidi"/>
          <w:color w:val="2E3B5D"/>
          <w:sz w:val="21"/>
          <w:lang w:val="es-CL" w:eastAsia="en-US"/>
        </w:rPr>
        <w:t>se mantuvo sobre la unidad durante todo el periodo de evaluación</w:t>
      </w:r>
      <w:r w:rsidR="00B54B97">
        <w:rPr>
          <w:rFonts w:ascii="Myriad Pro" w:eastAsiaTheme="minorHAnsi" w:hAnsi="Myriad Pro" w:cstheme="minorBidi"/>
          <w:color w:val="2E3B5D"/>
          <w:sz w:val="21"/>
          <w:lang w:val="es-CL" w:eastAsia="en-US"/>
        </w:rPr>
        <w:t xml:space="preserve">. No obstante, se observa una </w:t>
      </w:r>
      <w:r w:rsidR="0059010F">
        <w:rPr>
          <w:rFonts w:ascii="Myriad Pro" w:eastAsiaTheme="minorHAnsi" w:hAnsi="Myriad Pro" w:cstheme="minorBidi"/>
          <w:color w:val="2E3B5D"/>
          <w:sz w:val="21"/>
          <w:lang w:val="es-CL" w:eastAsia="en-US"/>
        </w:rPr>
        <w:t xml:space="preserve">leve </w:t>
      </w:r>
      <w:r w:rsidR="00B54B97">
        <w:rPr>
          <w:rFonts w:ascii="Myriad Pro" w:eastAsiaTheme="minorHAnsi" w:hAnsi="Myriad Pro" w:cstheme="minorBidi"/>
          <w:color w:val="2E3B5D"/>
          <w:sz w:val="21"/>
          <w:lang w:val="es-CL" w:eastAsia="en-US"/>
        </w:rPr>
        <w:t xml:space="preserve">tendencia decreciente </w:t>
      </w:r>
      <w:r w:rsidR="00C3212D">
        <w:rPr>
          <w:rFonts w:ascii="Myriad Pro" w:eastAsiaTheme="minorHAnsi" w:hAnsi="Myriad Pro" w:cstheme="minorBidi"/>
          <w:color w:val="2E3B5D"/>
          <w:sz w:val="21"/>
          <w:lang w:val="es-CL" w:eastAsia="en-US"/>
        </w:rPr>
        <w:t xml:space="preserve">al comparar las </w:t>
      </w:r>
      <w:r w:rsidR="0059010F">
        <w:rPr>
          <w:rFonts w:ascii="Myriad Pro" w:eastAsiaTheme="minorHAnsi" w:hAnsi="Myriad Pro" w:cstheme="minorBidi"/>
          <w:color w:val="2E3B5D"/>
          <w:sz w:val="21"/>
          <w:lang w:val="es-CL" w:eastAsia="en-US"/>
        </w:rPr>
        <w:t>1,65</w:t>
      </w:r>
      <w:r w:rsidR="00C3212D">
        <w:rPr>
          <w:rFonts w:ascii="Myriad Pro" w:eastAsiaTheme="minorHAnsi" w:hAnsi="Myriad Pro" w:cstheme="minorBidi"/>
          <w:color w:val="2E3B5D"/>
          <w:sz w:val="21"/>
          <w:lang w:val="es-CL" w:eastAsia="en-US"/>
        </w:rPr>
        <w:t xml:space="preserve"> veces</w:t>
      </w:r>
      <w:r w:rsidR="00B6566D">
        <w:rPr>
          <w:rFonts w:ascii="Myriad Pro" w:eastAsiaTheme="minorHAnsi" w:hAnsi="Myriad Pro" w:cstheme="minorBidi"/>
          <w:color w:val="2E3B5D"/>
          <w:sz w:val="21"/>
          <w:lang w:val="es-CL" w:eastAsia="en-US"/>
        </w:rPr>
        <w:t xml:space="preserve"> de 2016</w:t>
      </w:r>
      <w:r w:rsidR="00C3212D">
        <w:rPr>
          <w:rFonts w:ascii="Myriad Pro" w:eastAsiaTheme="minorHAnsi" w:hAnsi="Myriad Pro" w:cstheme="minorBidi"/>
          <w:color w:val="2E3B5D"/>
          <w:sz w:val="21"/>
          <w:lang w:val="es-CL" w:eastAsia="en-US"/>
        </w:rPr>
        <w:t xml:space="preserve"> </w:t>
      </w:r>
      <w:r w:rsidR="005945AD">
        <w:rPr>
          <w:rFonts w:ascii="Myriad Pro" w:eastAsiaTheme="minorHAnsi" w:hAnsi="Myriad Pro" w:cstheme="minorBidi"/>
          <w:color w:val="2E3B5D"/>
          <w:sz w:val="21"/>
          <w:lang w:val="es-CL" w:eastAsia="en-US"/>
        </w:rPr>
        <w:t>con las</w:t>
      </w:r>
      <w:r w:rsidR="0059010F">
        <w:rPr>
          <w:rFonts w:ascii="Myriad Pro" w:eastAsiaTheme="minorHAnsi" w:hAnsi="Myriad Pro" w:cstheme="minorBidi"/>
          <w:color w:val="2E3B5D"/>
          <w:sz w:val="21"/>
          <w:lang w:val="es-CL" w:eastAsia="en-US"/>
        </w:rPr>
        <w:t xml:space="preserve"> </w:t>
      </w:r>
      <w:r w:rsidR="002A1D77">
        <w:rPr>
          <w:rFonts w:ascii="Myriad Pro" w:eastAsiaTheme="minorHAnsi" w:hAnsi="Myriad Pro" w:cstheme="minorBidi"/>
          <w:color w:val="2E3B5D"/>
          <w:sz w:val="21"/>
          <w:lang w:val="es-CL" w:eastAsia="en-US"/>
        </w:rPr>
        <w:t>1,</w:t>
      </w:r>
      <w:r w:rsidR="002A7F89">
        <w:rPr>
          <w:rFonts w:ascii="Myriad Pro" w:eastAsiaTheme="minorHAnsi" w:hAnsi="Myriad Pro" w:cstheme="minorBidi"/>
          <w:color w:val="2E3B5D"/>
          <w:sz w:val="21"/>
          <w:lang w:val="es-CL" w:eastAsia="en-US"/>
        </w:rPr>
        <w:t>33</w:t>
      </w:r>
      <w:r w:rsidR="002A1D77">
        <w:rPr>
          <w:rFonts w:ascii="Myriad Pro" w:eastAsiaTheme="minorHAnsi" w:hAnsi="Myriad Pro" w:cstheme="minorBidi"/>
          <w:color w:val="2E3B5D"/>
          <w:sz w:val="21"/>
          <w:lang w:val="es-CL" w:eastAsia="en-US"/>
        </w:rPr>
        <w:t xml:space="preserve"> veces</w:t>
      </w:r>
      <w:r w:rsidR="00C3212D">
        <w:rPr>
          <w:rFonts w:ascii="Myriad Pro" w:eastAsiaTheme="minorHAnsi" w:hAnsi="Myriad Pro" w:cstheme="minorBidi"/>
          <w:color w:val="2E3B5D"/>
          <w:sz w:val="21"/>
          <w:lang w:val="es-CL" w:eastAsia="en-US"/>
        </w:rPr>
        <w:t xml:space="preserve"> de junio 2021</w:t>
      </w:r>
      <w:r w:rsidR="002A1D77">
        <w:rPr>
          <w:rFonts w:ascii="Myriad Pro" w:eastAsiaTheme="minorHAnsi" w:hAnsi="Myriad Pro" w:cstheme="minorBidi"/>
          <w:color w:val="2E3B5D"/>
          <w:sz w:val="21"/>
          <w:lang w:val="es-CL" w:eastAsia="en-US"/>
        </w:rPr>
        <w:t>.</w:t>
      </w:r>
      <w:r w:rsidR="006B5BE7">
        <w:rPr>
          <w:rFonts w:ascii="Myriad Pro" w:eastAsiaTheme="minorHAnsi" w:hAnsi="Myriad Pro" w:cstheme="minorBidi"/>
          <w:color w:val="2E3B5D"/>
          <w:sz w:val="21"/>
          <w:lang w:val="es-CL" w:eastAsia="en-US"/>
        </w:rPr>
        <w:t xml:space="preserve"> </w:t>
      </w:r>
      <w:r w:rsidR="00EE45B1">
        <w:rPr>
          <w:rFonts w:ascii="Myriad Pro" w:eastAsiaTheme="minorHAnsi" w:hAnsi="Myriad Pro" w:cstheme="minorBidi"/>
          <w:color w:val="2E3B5D"/>
          <w:sz w:val="21"/>
          <w:lang w:val="es-CL" w:eastAsia="en-US"/>
        </w:rPr>
        <w:t xml:space="preserve">La baja en el último periodo </w:t>
      </w:r>
      <w:r w:rsidR="00721F8C">
        <w:rPr>
          <w:rFonts w:ascii="Myriad Pro" w:eastAsiaTheme="minorHAnsi" w:hAnsi="Myriad Pro" w:cstheme="minorBidi"/>
          <w:color w:val="2E3B5D"/>
          <w:sz w:val="21"/>
          <w:lang w:val="es-CL" w:eastAsia="en-US"/>
        </w:rPr>
        <w:t xml:space="preserve">se explica por un aumento en los </w:t>
      </w:r>
      <w:r w:rsidR="003D1E81">
        <w:rPr>
          <w:rFonts w:ascii="Myriad Pro" w:eastAsiaTheme="minorHAnsi" w:hAnsi="Myriad Pro" w:cstheme="minorBidi"/>
          <w:color w:val="2E3B5D"/>
          <w:sz w:val="21"/>
          <w:lang w:val="es-CL" w:eastAsia="en-US"/>
        </w:rPr>
        <w:t xml:space="preserve">pasivos financieros </w:t>
      </w:r>
      <w:r w:rsidR="00D64B0F">
        <w:rPr>
          <w:rFonts w:ascii="Myriad Pro" w:eastAsiaTheme="minorHAnsi" w:hAnsi="Myriad Pro" w:cstheme="minorBidi"/>
          <w:color w:val="2E3B5D"/>
          <w:sz w:val="21"/>
          <w:lang w:val="es-CL" w:eastAsia="en-US"/>
        </w:rPr>
        <w:t>corrientes</w:t>
      </w:r>
      <w:r w:rsidR="003D1E81">
        <w:rPr>
          <w:rFonts w:ascii="Myriad Pro" w:eastAsiaTheme="minorHAnsi" w:hAnsi="Myriad Pro" w:cstheme="minorBidi"/>
          <w:color w:val="2E3B5D"/>
          <w:sz w:val="21"/>
          <w:lang w:val="es-CL" w:eastAsia="en-US"/>
        </w:rPr>
        <w:t xml:space="preserve"> y cuentas por pagar</w:t>
      </w:r>
      <w:r w:rsidR="00EE45B1">
        <w:rPr>
          <w:rFonts w:ascii="Myriad Pro" w:eastAsiaTheme="minorHAnsi" w:hAnsi="Myriad Pro" w:cstheme="minorBidi"/>
          <w:color w:val="2E3B5D"/>
          <w:sz w:val="21"/>
          <w:lang w:val="es-CL" w:eastAsia="en-US"/>
        </w:rPr>
        <w:t>.</w:t>
      </w:r>
      <w:r w:rsidR="002A1D77">
        <w:rPr>
          <w:rFonts w:ascii="Myriad Pro" w:eastAsiaTheme="minorHAnsi" w:hAnsi="Myriad Pro" w:cstheme="minorBidi"/>
          <w:color w:val="2E3B5D"/>
          <w:sz w:val="21"/>
          <w:lang w:val="es-CL" w:eastAsia="en-US"/>
        </w:rPr>
        <w:t xml:space="preserve"> </w:t>
      </w:r>
    </w:p>
    <w:p w14:paraId="7FA391E8" w14:textId="4404A2DC" w:rsidR="00D428DE" w:rsidRDefault="002D529D" w:rsidP="007C18CE">
      <w:pPr>
        <w:keepNext/>
        <w:spacing w:after="120"/>
        <w:jc w:val="center"/>
      </w:pPr>
      <w:r>
        <w:rPr>
          <w:noProof/>
        </w:rPr>
        <w:drawing>
          <wp:inline distT="0" distB="0" distL="0" distR="0" wp14:anchorId="00E8A4CC" wp14:editId="6BD7F068">
            <wp:extent cx="4286250" cy="2114550"/>
            <wp:effectExtent l="0" t="0" r="0" b="0"/>
            <wp:docPr id="20" name="Gráfico 20">
              <a:extLst xmlns:a="http://schemas.openxmlformats.org/drawingml/2006/main">
                <a:ext uri="{FF2B5EF4-FFF2-40B4-BE49-F238E27FC236}">
                  <a16:creationId xmlns:a16="http://schemas.microsoft.com/office/drawing/2014/main" id="{37EDC03C-8650-4180-8783-DFB09409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1D5F91" w14:textId="077A20D0" w:rsidR="00F92D66" w:rsidRDefault="00BC5557" w:rsidP="007C18CE">
      <w:pPr>
        <w:pStyle w:val="Descripcin"/>
        <w:spacing w:after="120"/>
      </w:pPr>
      <w:r>
        <w:t xml:space="preserve">Ilustración </w:t>
      </w:r>
      <w:r w:rsidR="000179F4">
        <w:fldChar w:fldCharType="begin"/>
      </w:r>
      <w:r w:rsidR="000179F4">
        <w:instrText xml:space="preserve"> SEQ Ilustración \* ARABIC </w:instrText>
      </w:r>
      <w:r w:rsidR="000179F4">
        <w:fldChar w:fldCharType="separate"/>
      </w:r>
      <w:r w:rsidR="000179F4">
        <w:rPr>
          <w:noProof/>
        </w:rPr>
        <w:t>9</w:t>
      </w:r>
      <w:r w:rsidR="000179F4">
        <w:rPr>
          <w:noProof/>
        </w:rPr>
        <w:fldChar w:fldCharType="end"/>
      </w:r>
      <w:r>
        <w:t xml:space="preserve">: Razón Circulante (2016 </w:t>
      </w:r>
      <w:r w:rsidR="007A2B62">
        <w:t>–</w:t>
      </w:r>
      <w:r>
        <w:t xml:space="preserve"> junio 2021)</w:t>
      </w:r>
    </w:p>
    <w:p w14:paraId="1428E9EB" w14:textId="77777777" w:rsidR="005B1259" w:rsidRPr="005B1259" w:rsidRDefault="005B1259" w:rsidP="007C18CE">
      <w:pPr>
        <w:spacing w:after="120"/>
      </w:pPr>
    </w:p>
    <w:p w14:paraId="6F2BCA7E" w14:textId="5B80F3FF" w:rsidR="00E209EF" w:rsidRDefault="009F7A93" w:rsidP="007C18CE">
      <w:pPr>
        <w:pStyle w:val="Ttulo"/>
        <w:rPr>
          <w:lang w:val="es-ES"/>
        </w:rPr>
      </w:pPr>
      <w:r>
        <w:rPr>
          <w:lang w:val="es-ES"/>
        </w:rPr>
        <w:lastRenderedPageBreak/>
        <w:t>Evolución de la r</w:t>
      </w:r>
      <w:r w:rsidR="00464EAD" w:rsidRPr="00464EAD">
        <w:rPr>
          <w:lang w:val="es-ES"/>
        </w:rPr>
        <w:t>entabilidad</w:t>
      </w:r>
      <w:r w:rsidR="003C1F4D">
        <w:rPr>
          <w:rStyle w:val="Refdenotaalpie"/>
          <w:lang w:val="es-ES"/>
        </w:rPr>
        <w:footnoteReference w:id="10"/>
      </w:r>
    </w:p>
    <w:p w14:paraId="7FCF44B5" w14:textId="0A83AC15" w:rsidR="004157DB" w:rsidRDefault="00DB58A3" w:rsidP="007C18CE">
      <w:pPr>
        <w:pStyle w:val="Textoindependiente3"/>
        <w:jc w:val="both"/>
        <w:rPr>
          <w:sz w:val="21"/>
          <w:szCs w:val="24"/>
        </w:rPr>
      </w:pPr>
      <w:r>
        <w:rPr>
          <w:sz w:val="21"/>
          <w:szCs w:val="24"/>
        </w:rPr>
        <w:t>La</w:t>
      </w:r>
      <w:r w:rsidR="008A5814">
        <w:rPr>
          <w:sz w:val="21"/>
          <w:szCs w:val="24"/>
        </w:rPr>
        <w:t xml:space="preserve"> rentabilidad sobre </w:t>
      </w:r>
      <w:r>
        <w:rPr>
          <w:sz w:val="21"/>
          <w:szCs w:val="24"/>
        </w:rPr>
        <w:t xml:space="preserve">activo </w:t>
      </w:r>
      <w:r w:rsidR="008A5814">
        <w:rPr>
          <w:sz w:val="21"/>
          <w:szCs w:val="24"/>
        </w:rPr>
        <w:t xml:space="preserve">y sobre </w:t>
      </w:r>
      <w:r>
        <w:rPr>
          <w:sz w:val="21"/>
          <w:szCs w:val="24"/>
        </w:rPr>
        <w:t>patrimonio</w:t>
      </w:r>
      <w:r w:rsidR="008A5814">
        <w:rPr>
          <w:sz w:val="21"/>
          <w:szCs w:val="24"/>
        </w:rPr>
        <w:t xml:space="preserve"> presentan </w:t>
      </w:r>
      <w:r w:rsidR="00F311C6">
        <w:rPr>
          <w:sz w:val="21"/>
          <w:szCs w:val="24"/>
        </w:rPr>
        <w:t>una</w:t>
      </w:r>
      <w:r w:rsidR="008A5814">
        <w:rPr>
          <w:sz w:val="21"/>
          <w:szCs w:val="24"/>
        </w:rPr>
        <w:t xml:space="preserve"> tendencia</w:t>
      </w:r>
      <w:r w:rsidR="004157DB">
        <w:rPr>
          <w:sz w:val="21"/>
          <w:szCs w:val="24"/>
        </w:rPr>
        <w:t xml:space="preserve"> a la baja hasta el año 2019, donde alcanzaron valores de </w:t>
      </w:r>
      <w:r w:rsidR="00C50B60">
        <w:rPr>
          <w:sz w:val="21"/>
          <w:szCs w:val="24"/>
        </w:rPr>
        <w:t xml:space="preserve">2% y 7,6%, </w:t>
      </w:r>
      <w:r w:rsidR="004157DB">
        <w:rPr>
          <w:sz w:val="21"/>
          <w:szCs w:val="24"/>
        </w:rPr>
        <w:t>respectivamente.</w:t>
      </w:r>
      <w:r w:rsidR="00C50B60">
        <w:rPr>
          <w:sz w:val="21"/>
          <w:szCs w:val="24"/>
        </w:rPr>
        <w:t xml:space="preserve"> </w:t>
      </w:r>
      <w:r w:rsidR="00F63038">
        <w:rPr>
          <w:sz w:val="21"/>
          <w:szCs w:val="24"/>
        </w:rPr>
        <w:t xml:space="preserve">Lo anterior se explica por </w:t>
      </w:r>
      <w:r w:rsidR="007503C5">
        <w:rPr>
          <w:sz w:val="21"/>
          <w:szCs w:val="24"/>
        </w:rPr>
        <w:t>menores ganancias ante alzas en los gastos de administración y efectos cambiarios negativos</w:t>
      </w:r>
      <w:r w:rsidR="009D1F1F">
        <w:rPr>
          <w:sz w:val="21"/>
          <w:szCs w:val="24"/>
        </w:rPr>
        <w:t>, que se compensa</w:t>
      </w:r>
      <w:r w:rsidR="00823990">
        <w:rPr>
          <w:sz w:val="21"/>
          <w:szCs w:val="24"/>
        </w:rPr>
        <w:t>ron</w:t>
      </w:r>
      <w:r w:rsidR="007A2B62">
        <w:rPr>
          <w:sz w:val="21"/>
          <w:szCs w:val="24"/>
        </w:rPr>
        <w:t>,</w:t>
      </w:r>
      <w:r w:rsidR="009D1F1F">
        <w:rPr>
          <w:sz w:val="21"/>
          <w:szCs w:val="24"/>
        </w:rPr>
        <w:t xml:space="preserve"> en parte con incrementos en el margen bruto.</w:t>
      </w:r>
      <w:r w:rsidR="00F140D6">
        <w:rPr>
          <w:sz w:val="21"/>
          <w:szCs w:val="24"/>
        </w:rPr>
        <w:t xml:space="preserve"> Posteriormente, entre 2020 y 2021 </w:t>
      </w:r>
      <w:r w:rsidR="00D77CFC">
        <w:rPr>
          <w:sz w:val="21"/>
          <w:szCs w:val="24"/>
        </w:rPr>
        <w:t xml:space="preserve">los indicadores </w:t>
      </w:r>
      <w:r w:rsidR="00BB540B">
        <w:rPr>
          <w:sz w:val="21"/>
          <w:szCs w:val="24"/>
        </w:rPr>
        <w:t>e</w:t>
      </w:r>
      <w:r w:rsidR="00F140D6">
        <w:rPr>
          <w:sz w:val="21"/>
          <w:szCs w:val="24"/>
        </w:rPr>
        <w:t>xhiben una tendencia al alza</w:t>
      </w:r>
      <w:r w:rsidR="00BB540B">
        <w:rPr>
          <w:sz w:val="21"/>
          <w:szCs w:val="24"/>
        </w:rPr>
        <w:t>, que</w:t>
      </w:r>
      <w:r w:rsidR="00974840">
        <w:rPr>
          <w:sz w:val="21"/>
          <w:szCs w:val="24"/>
        </w:rPr>
        <w:t xml:space="preserve"> en 2020</w:t>
      </w:r>
      <w:r w:rsidR="00BB540B">
        <w:rPr>
          <w:sz w:val="21"/>
          <w:szCs w:val="24"/>
        </w:rPr>
        <w:t xml:space="preserve"> se asocia a </w:t>
      </w:r>
      <w:r w:rsidR="00D72814">
        <w:rPr>
          <w:sz w:val="21"/>
          <w:szCs w:val="24"/>
        </w:rPr>
        <w:t>diferencias de cambio positivas</w:t>
      </w:r>
      <w:r w:rsidR="00974840">
        <w:rPr>
          <w:sz w:val="21"/>
          <w:szCs w:val="24"/>
        </w:rPr>
        <w:t xml:space="preserve"> y en 2021</w:t>
      </w:r>
      <w:r w:rsidR="00465CCF">
        <w:rPr>
          <w:sz w:val="21"/>
          <w:szCs w:val="24"/>
        </w:rPr>
        <w:t xml:space="preserve"> (UDM)</w:t>
      </w:r>
      <w:r w:rsidR="00D72814">
        <w:rPr>
          <w:sz w:val="21"/>
          <w:szCs w:val="24"/>
        </w:rPr>
        <w:t xml:space="preserve"> </w:t>
      </w:r>
      <w:r w:rsidR="00CF7B02">
        <w:rPr>
          <w:sz w:val="21"/>
          <w:szCs w:val="24"/>
        </w:rPr>
        <w:t xml:space="preserve">a menores gastos de administración </w:t>
      </w:r>
      <w:r w:rsidR="00FB2B71">
        <w:rPr>
          <w:sz w:val="21"/>
          <w:szCs w:val="24"/>
        </w:rPr>
        <w:t xml:space="preserve">y </w:t>
      </w:r>
      <w:r w:rsidR="00465CCF">
        <w:rPr>
          <w:sz w:val="21"/>
          <w:szCs w:val="24"/>
        </w:rPr>
        <w:t>mayor</w:t>
      </w:r>
      <w:r w:rsidR="00FB2B71">
        <w:rPr>
          <w:sz w:val="21"/>
          <w:szCs w:val="24"/>
        </w:rPr>
        <w:t xml:space="preserve"> ganancia bruta</w:t>
      </w:r>
      <w:r w:rsidR="00CF7B02">
        <w:rPr>
          <w:sz w:val="21"/>
          <w:szCs w:val="24"/>
        </w:rPr>
        <w:t>.</w:t>
      </w:r>
      <w:r w:rsidR="00446B71">
        <w:rPr>
          <w:sz w:val="21"/>
          <w:szCs w:val="24"/>
        </w:rPr>
        <w:t xml:space="preserve"> De esta forma, </w:t>
      </w:r>
      <w:r w:rsidR="00465CCF">
        <w:rPr>
          <w:sz w:val="21"/>
          <w:szCs w:val="24"/>
        </w:rPr>
        <w:t xml:space="preserve">en 2021 </w:t>
      </w:r>
      <w:proofErr w:type="gramStart"/>
      <w:r w:rsidR="00446B71">
        <w:rPr>
          <w:sz w:val="21"/>
          <w:szCs w:val="24"/>
        </w:rPr>
        <w:t xml:space="preserve">los </w:t>
      </w:r>
      <w:r w:rsidR="00465CCF">
        <w:rPr>
          <w:sz w:val="21"/>
          <w:szCs w:val="24"/>
        </w:rPr>
        <w:t>ratios</w:t>
      </w:r>
      <w:proofErr w:type="gramEnd"/>
      <w:r w:rsidR="00465CCF">
        <w:rPr>
          <w:sz w:val="21"/>
          <w:szCs w:val="24"/>
        </w:rPr>
        <w:t xml:space="preserve"> de rentabilidad sobre activo y sobre patrimonio alcanzaron un </w:t>
      </w:r>
      <w:r w:rsidR="008F1D50">
        <w:rPr>
          <w:sz w:val="21"/>
          <w:szCs w:val="24"/>
        </w:rPr>
        <w:t>13,6</w:t>
      </w:r>
      <w:r w:rsidR="00465CCF">
        <w:rPr>
          <w:sz w:val="21"/>
          <w:szCs w:val="24"/>
        </w:rPr>
        <w:t>% (</w:t>
      </w:r>
      <w:r w:rsidR="00532691">
        <w:rPr>
          <w:sz w:val="21"/>
          <w:szCs w:val="24"/>
        </w:rPr>
        <w:t>3,8</w:t>
      </w:r>
      <w:r w:rsidR="00465CCF">
        <w:rPr>
          <w:sz w:val="21"/>
          <w:szCs w:val="24"/>
        </w:rPr>
        <w:t>%</w:t>
      </w:r>
      <w:r w:rsidR="00532691">
        <w:rPr>
          <w:sz w:val="21"/>
          <w:szCs w:val="24"/>
        </w:rPr>
        <w:t xml:space="preserve"> en</w:t>
      </w:r>
      <w:r w:rsidR="00465CCF">
        <w:rPr>
          <w:sz w:val="21"/>
          <w:szCs w:val="24"/>
        </w:rPr>
        <w:t xml:space="preserve"> 2020) y</w:t>
      </w:r>
      <w:r w:rsidR="009E6A6B">
        <w:rPr>
          <w:sz w:val="21"/>
          <w:szCs w:val="24"/>
        </w:rPr>
        <w:t xml:space="preserve"> un</w:t>
      </w:r>
      <w:r w:rsidR="00465CCF">
        <w:rPr>
          <w:sz w:val="21"/>
          <w:szCs w:val="24"/>
        </w:rPr>
        <w:t xml:space="preserve"> </w:t>
      </w:r>
      <w:r w:rsidR="00532691">
        <w:rPr>
          <w:sz w:val="21"/>
          <w:szCs w:val="24"/>
        </w:rPr>
        <w:t>73,8</w:t>
      </w:r>
      <w:r w:rsidR="00465CCF">
        <w:rPr>
          <w:sz w:val="21"/>
          <w:szCs w:val="24"/>
        </w:rPr>
        <w:t>% (</w:t>
      </w:r>
      <w:r w:rsidR="00532691">
        <w:rPr>
          <w:sz w:val="21"/>
          <w:szCs w:val="24"/>
        </w:rPr>
        <w:t>19</w:t>
      </w:r>
      <w:r w:rsidR="00465CCF">
        <w:rPr>
          <w:sz w:val="21"/>
          <w:szCs w:val="24"/>
        </w:rPr>
        <w:t>%</w:t>
      </w:r>
      <w:r w:rsidR="00532691">
        <w:rPr>
          <w:sz w:val="21"/>
          <w:szCs w:val="24"/>
        </w:rPr>
        <w:t xml:space="preserve"> en</w:t>
      </w:r>
      <w:r w:rsidR="00465CCF">
        <w:rPr>
          <w:sz w:val="21"/>
          <w:szCs w:val="24"/>
        </w:rPr>
        <w:t xml:space="preserve"> 2020), respectivamente.</w:t>
      </w:r>
    </w:p>
    <w:p w14:paraId="754E87EB" w14:textId="739FF2F3" w:rsidR="00BC5557" w:rsidRDefault="000E4E2F" w:rsidP="007C18CE">
      <w:pPr>
        <w:keepNext/>
        <w:spacing w:after="120"/>
        <w:jc w:val="center"/>
      </w:pPr>
      <w:r>
        <w:rPr>
          <w:noProof/>
        </w:rPr>
        <w:drawing>
          <wp:inline distT="0" distB="0" distL="0" distR="0" wp14:anchorId="5A3839CE" wp14:editId="3A0E7279">
            <wp:extent cx="4795631" cy="2313860"/>
            <wp:effectExtent l="0" t="0" r="5080" b="0"/>
            <wp:docPr id="21" name="Gráfico 21">
              <a:extLst xmlns:a="http://schemas.openxmlformats.org/drawingml/2006/main">
                <a:ext uri="{FF2B5EF4-FFF2-40B4-BE49-F238E27FC236}">
                  <a16:creationId xmlns:a16="http://schemas.microsoft.com/office/drawing/2014/main" id="{0C42E594-94CE-4F91-A9BD-AF275664E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CC591F" w14:textId="4D94C931" w:rsidR="00282955" w:rsidRDefault="00BC5557" w:rsidP="007C18CE">
      <w:pPr>
        <w:pStyle w:val="Descripcin"/>
        <w:spacing w:after="120"/>
        <w:rPr>
          <w:lang w:val="es-ES"/>
        </w:rPr>
      </w:pPr>
      <w:r>
        <w:t xml:space="preserve">Ilustración </w:t>
      </w:r>
      <w:r w:rsidR="000179F4">
        <w:fldChar w:fldCharType="begin"/>
      </w:r>
      <w:r w:rsidR="000179F4">
        <w:instrText xml:space="preserve"> SEQ Ilustración \* ARABIC </w:instrText>
      </w:r>
      <w:r w:rsidR="000179F4">
        <w:fldChar w:fldCharType="separate"/>
      </w:r>
      <w:r w:rsidR="000179F4">
        <w:rPr>
          <w:noProof/>
        </w:rPr>
        <w:t>10</w:t>
      </w:r>
      <w:r w:rsidR="000179F4">
        <w:rPr>
          <w:noProof/>
        </w:rPr>
        <w:fldChar w:fldCharType="end"/>
      </w:r>
      <w:r>
        <w:t>: Rentabilidad del Activo y Rentabilidad sobre Patrimonio (2016 - junio 2021)</w:t>
      </w:r>
    </w:p>
    <w:p w14:paraId="6D4836E0" w14:textId="77777777" w:rsidR="00BC5557" w:rsidRDefault="00BC5557" w:rsidP="007C18CE">
      <w:pPr>
        <w:pStyle w:val="Ttulo"/>
        <w:spacing w:after="120" w:line="240" w:lineRule="auto"/>
        <w:rPr>
          <w:lang w:val="es-ES"/>
        </w:rPr>
      </w:pPr>
    </w:p>
    <w:p w14:paraId="79C2ADE6" w14:textId="10B3A528" w:rsidR="00BC5557" w:rsidRDefault="00BC5557" w:rsidP="007C18CE">
      <w:pPr>
        <w:keepNext/>
        <w:spacing w:after="120"/>
        <w:jc w:val="center"/>
      </w:pPr>
    </w:p>
    <w:p w14:paraId="6E6B8264" w14:textId="77051892" w:rsidR="00BC5557" w:rsidRDefault="00BC5557" w:rsidP="007C18CE">
      <w:pPr>
        <w:pStyle w:val="Ttulo"/>
        <w:spacing w:after="120" w:line="240" w:lineRule="auto"/>
        <w:rPr>
          <w:rFonts w:ascii="Myriad Pro" w:hAnsi="Myriad Pro"/>
          <w:spacing w:val="0"/>
          <w:kern w:val="0"/>
          <w:sz w:val="44"/>
          <w:szCs w:val="32"/>
          <w:lang w:val="es-ES"/>
        </w:rPr>
      </w:pPr>
    </w:p>
    <w:p w14:paraId="198C85B0" w14:textId="3EF17319" w:rsidR="00F936FD" w:rsidRDefault="00F936FD" w:rsidP="007C18CE">
      <w:pPr>
        <w:spacing w:after="120"/>
        <w:rPr>
          <w:lang w:val="es-ES"/>
        </w:rPr>
      </w:pPr>
    </w:p>
    <w:p w14:paraId="4FD96ED5" w14:textId="637DB8AB" w:rsidR="00F936FD" w:rsidRDefault="00F936FD" w:rsidP="007C18CE">
      <w:pPr>
        <w:spacing w:after="120"/>
        <w:rPr>
          <w:lang w:val="es-ES"/>
        </w:rPr>
      </w:pPr>
    </w:p>
    <w:p w14:paraId="69226969" w14:textId="6832D38F" w:rsidR="00F936FD" w:rsidRDefault="00F936FD" w:rsidP="007C18CE">
      <w:pPr>
        <w:spacing w:after="120"/>
        <w:rPr>
          <w:lang w:val="es-ES"/>
        </w:rPr>
      </w:pPr>
    </w:p>
    <w:p w14:paraId="00EAFCCE" w14:textId="51F114DF" w:rsidR="00F936FD" w:rsidRDefault="00F936FD" w:rsidP="007C18CE">
      <w:pPr>
        <w:spacing w:after="120"/>
        <w:rPr>
          <w:lang w:val="es-ES"/>
        </w:rPr>
      </w:pPr>
    </w:p>
    <w:p w14:paraId="28BA8508" w14:textId="168E56EE" w:rsidR="00F936FD" w:rsidRDefault="00F936FD" w:rsidP="00F936FD">
      <w:pPr>
        <w:rPr>
          <w:lang w:val="es-ES"/>
        </w:rPr>
      </w:pPr>
    </w:p>
    <w:p w14:paraId="6DA9A5D3" w14:textId="204B86CA" w:rsidR="00F936FD" w:rsidRDefault="00F936FD" w:rsidP="00F936FD">
      <w:pPr>
        <w:rPr>
          <w:lang w:val="es-ES"/>
        </w:rPr>
      </w:pPr>
    </w:p>
    <w:p w14:paraId="0C7EC608" w14:textId="767FE1CB" w:rsidR="00F936FD" w:rsidRDefault="00F936FD" w:rsidP="00F936FD">
      <w:pPr>
        <w:rPr>
          <w:lang w:val="es-ES"/>
        </w:rPr>
      </w:pPr>
    </w:p>
    <w:p w14:paraId="23060E20" w14:textId="3A58B253" w:rsidR="00F936FD" w:rsidRDefault="00F936FD" w:rsidP="00F936FD">
      <w:pPr>
        <w:rPr>
          <w:lang w:val="es-ES"/>
        </w:rPr>
      </w:pPr>
    </w:p>
    <w:p w14:paraId="77BDE5AD" w14:textId="4B2121A5" w:rsidR="00F936FD" w:rsidRDefault="00F936FD" w:rsidP="00F936FD">
      <w:pPr>
        <w:rPr>
          <w:lang w:val="es-ES"/>
        </w:rPr>
      </w:pPr>
    </w:p>
    <w:p w14:paraId="0E36E7DB" w14:textId="77777777" w:rsidR="00F936FD" w:rsidRPr="00F936FD" w:rsidRDefault="00F936FD" w:rsidP="00F936FD">
      <w:pPr>
        <w:rPr>
          <w:lang w:val="es-ES"/>
        </w:rPr>
      </w:pPr>
    </w:p>
    <w:p w14:paraId="729C4590" w14:textId="43E2C9FB" w:rsidR="00F976A9" w:rsidRPr="00984B4B" w:rsidRDefault="00F976A9" w:rsidP="0089028D">
      <w:pPr>
        <w:pStyle w:val="Ttulo"/>
        <w:rPr>
          <w:rFonts w:ascii="Myriad Pro" w:hAnsi="Myriad Pro"/>
          <w:spacing w:val="0"/>
          <w:kern w:val="0"/>
          <w:sz w:val="44"/>
          <w:szCs w:val="32"/>
          <w:lang w:val="es-ES"/>
        </w:rPr>
      </w:pPr>
      <w:proofErr w:type="gramStart"/>
      <w:r w:rsidRPr="00984B4B">
        <w:rPr>
          <w:rFonts w:ascii="Myriad Pro" w:hAnsi="Myriad Pro"/>
          <w:spacing w:val="0"/>
          <w:kern w:val="0"/>
          <w:sz w:val="44"/>
          <w:szCs w:val="32"/>
          <w:lang w:val="es-ES"/>
        </w:rPr>
        <w:lastRenderedPageBreak/>
        <w:t>Ratios financieros</w:t>
      </w:r>
      <w:proofErr w:type="gramEnd"/>
    </w:p>
    <w:tbl>
      <w:tblPr>
        <w:tblW w:w="9676" w:type="dxa"/>
        <w:jc w:val="center"/>
        <w:tblCellMar>
          <w:left w:w="70" w:type="dxa"/>
          <w:right w:w="70" w:type="dxa"/>
        </w:tblCellMar>
        <w:tblLook w:val="04A0" w:firstRow="1" w:lastRow="0" w:firstColumn="1" w:lastColumn="0" w:noHBand="0" w:noVBand="1"/>
      </w:tblPr>
      <w:tblGrid>
        <w:gridCol w:w="2476"/>
        <w:gridCol w:w="1200"/>
        <w:gridCol w:w="1200"/>
        <w:gridCol w:w="1200"/>
        <w:gridCol w:w="1200"/>
        <w:gridCol w:w="1200"/>
        <w:gridCol w:w="1200"/>
      </w:tblGrid>
      <w:tr w:rsidR="00646C38" w:rsidRPr="00646C38" w14:paraId="4EB86531" w14:textId="77777777" w:rsidTr="007C18CE">
        <w:trPr>
          <w:trHeight w:val="300"/>
          <w:jc w:val="center"/>
        </w:trPr>
        <w:tc>
          <w:tcPr>
            <w:tcW w:w="9676" w:type="dxa"/>
            <w:gridSpan w:val="7"/>
            <w:tcBorders>
              <w:top w:val="nil"/>
              <w:left w:val="nil"/>
              <w:bottom w:val="nil"/>
              <w:right w:val="nil"/>
            </w:tcBorders>
            <w:shd w:val="clear" w:color="000000" w:fill="BB1823"/>
            <w:vAlign w:val="center"/>
            <w:hideMark/>
          </w:tcPr>
          <w:p w14:paraId="37E7B285" w14:textId="77777777" w:rsidR="00646C38" w:rsidRPr="00646C38" w:rsidRDefault="00646C38" w:rsidP="00646C38">
            <w:pPr>
              <w:jc w:val="center"/>
              <w:rPr>
                <w:rFonts w:eastAsia="Times New Roman" w:cs="Calibri"/>
                <w:b/>
                <w:bCs/>
                <w:color w:val="FFFFFF"/>
                <w:sz w:val="18"/>
                <w:szCs w:val="18"/>
                <w:lang w:eastAsia="es-CL"/>
              </w:rPr>
            </w:pPr>
            <w:r w:rsidRPr="00646C38">
              <w:rPr>
                <w:rFonts w:eastAsia="Times New Roman" w:cs="Calibri"/>
                <w:b/>
                <w:bCs/>
                <w:color w:val="FFFFFF"/>
                <w:sz w:val="18"/>
                <w:szCs w:val="18"/>
                <w:lang w:eastAsia="es-CL"/>
              </w:rPr>
              <w:t>Ratios Financieros</w:t>
            </w:r>
          </w:p>
        </w:tc>
      </w:tr>
      <w:tr w:rsidR="00646C38" w:rsidRPr="00646C38" w14:paraId="217D048F" w14:textId="77777777" w:rsidTr="007C18CE">
        <w:trPr>
          <w:trHeight w:val="480"/>
          <w:jc w:val="center"/>
        </w:trPr>
        <w:tc>
          <w:tcPr>
            <w:tcW w:w="2476" w:type="dxa"/>
            <w:tcBorders>
              <w:top w:val="nil"/>
              <w:left w:val="nil"/>
              <w:bottom w:val="nil"/>
              <w:right w:val="nil"/>
            </w:tcBorders>
            <w:shd w:val="clear" w:color="000000" w:fill="BB1823"/>
            <w:vAlign w:val="center"/>
            <w:hideMark/>
          </w:tcPr>
          <w:p w14:paraId="130EF094" w14:textId="77777777" w:rsidR="00646C38" w:rsidRPr="00646C38" w:rsidRDefault="00646C38" w:rsidP="00646C38">
            <w:pPr>
              <w:rPr>
                <w:rFonts w:eastAsia="Times New Roman" w:cs="Calibri"/>
                <w:b/>
                <w:bCs/>
                <w:color w:val="FFFFFF"/>
                <w:sz w:val="18"/>
                <w:szCs w:val="18"/>
                <w:lang w:eastAsia="es-CL"/>
              </w:rPr>
            </w:pPr>
            <w:r w:rsidRPr="00646C38">
              <w:rPr>
                <w:rFonts w:eastAsia="Times New Roman" w:cs="Calibri"/>
                <w:b/>
                <w:bCs/>
                <w:color w:val="FFFFFF"/>
                <w:sz w:val="18"/>
                <w:szCs w:val="18"/>
                <w:lang w:eastAsia="es-CL"/>
              </w:rPr>
              <w:t>Ratios de liquidez</w:t>
            </w:r>
          </w:p>
        </w:tc>
        <w:tc>
          <w:tcPr>
            <w:tcW w:w="1200" w:type="dxa"/>
            <w:tcBorders>
              <w:top w:val="nil"/>
              <w:left w:val="nil"/>
              <w:bottom w:val="nil"/>
              <w:right w:val="nil"/>
            </w:tcBorders>
            <w:shd w:val="clear" w:color="000000" w:fill="BB1823"/>
            <w:vAlign w:val="center"/>
            <w:hideMark/>
          </w:tcPr>
          <w:p w14:paraId="3F302732" w14:textId="77777777" w:rsidR="00646C38" w:rsidRPr="00646C38" w:rsidRDefault="00646C38" w:rsidP="00646C38">
            <w:pPr>
              <w:jc w:val="center"/>
              <w:rPr>
                <w:rFonts w:eastAsia="Times New Roman" w:cs="Calibri"/>
                <w:b/>
                <w:bCs/>
                <w:color w:val="FFFFFF"/>
                <w:sz w:val="18"/>
                <w:szCs w:val="18"/>
                <w:lang w:eastAsia="es-CL"/>
              </w:rPr>
            </w:pPr>
            <w:r w:rsidRPr="00646C38">
              <w:rPr>
                <w:rFonts w:eastAsia="Times New Roman" w:cs="Calibri"/>
                <w:b/>
                <w:bCs/>
                <w:color w:val="FFFFFF"/>
                <w:sz w:val="18"/>
                <w:szCs w:val="18"/>
                <w:lang w:eastAsia="es-CL"/>
              </w:rPr>
              <w:t>2016</w:t>
            </w:r>
          </w:p>
        </w:tc>
        <w:tc>
          <w:tcPr>
            <w:tcW w:w="1200" w:type="dxa"/>
            <w:tcBorders>
              <w:top w:val="nil"/>
              <w:left w:val="nil"/>
              <w:bottom w:val="nil"/>
              <w:right w:val="nil"/>
            </w:tcBorders>
            <w:shd w:val="clear" w:color="000000" w:fill="BB1823"/>
            <w:vAlign w:val="center"/>
            <w:hideMark/>
          </w:tcPr>
          <w:p w14:paraId="355C834E" w14:textId="77777777" w:rsidR="00646C38" w:rsidRPr="00646C38" w:rsidRDefault="00646C38" w:rsidP="00646C38">
            <w:pPr>
              <w:jc w:val="center"/>
              <w:rPr>
                <w:rFonts w:eastAsia="Times New Roman" w:cs="Calibri"/>
                <w:b/>
                <w:bCs/>
                <w:color w:val="FFFFFF"/>
                <w:sz w:val="18"/>
                <w:szCs w:val="18"/>
                <w:lang w:eastAsia="es-CL"/>
              </w:rPr>
            </w:pPr>
            <w:r w:rsidRPr="00646C38">
              <w:rPr>
                <w:rFonts w:eastAsia="Times New Roman" w:cs="Calibri"/>
                <w:b/>
                <w:bCs/>
                <w:color w:val="FFFFFF"/>
                <w:sz w:val="18"/>
                <w:szCs w:val="18"/>
                <w:lang w:eastAsia="es-CL"/>
              </w:rPr>
              <w:t>2017</w:t>
            </w:r>
          </w:p>
        </w:tc>
        <w:tc>
          <w:tcPr>
            <w:tcW w:w="1200" w:type="dxa"/>
            <w:tcBorders>
              <w:top w:val="nil"/>
              <w:left w:val="nil"/>
              <w:bottom w:val="nil"/>
              <w:right w:val="nil"/>
            </w:tcBorders>
            <w:shd w:val="clear" w:color="000000" w:fill="BB1823"/>
            <w:vAlign w:val="center"/>
            <w:hideMark/>
          </w:tcPr>
          <w:p w14:paraId="39260E85" w14:textId="77777777" w:rsidR="00646C38" w:rsidRPr="00646C38" w:rsidRDefault="00646C38" w:rsidP="00646C38">
            <w:pPr>
              <w:jc w:val="center"/>
              <w:rPr>
                <w:rFonts w:eastAsia="Times New Roman" w:cs="Calibri"/>
                <w:b/>
                <w:bCs/>
                <w:color w:val="FFFFFF"/>
                <w:sz w:val="18"/>
                <w:szCs w:val="18"/>
                <w:lang w:eastAsia="es-CL"/>
              </w:rPr>
            </w:pPr>
            <w:r w:rsidRPr="00646C38">
              <w:rPr>
                <w:rFonts w:eastAsia="Times New Roman" w:cs="Calibri"/>
                <w:b/>
                <w:bCs/>
                <w:color w:val="FFFFFF"/>
                <w:sz w:val="18"/>
                <w:szCs w:val="18"/>
                <w:lang w:eastAsia="es-CL"/>
              </w:rPr>
              <w:t>2018</w:t>
            </w:r>
          </w:p>
        </w:tc>
        <w:tc>
          <w:tcPr>
            <w:tcW w:w="1200" w:type="dxa"/>
            <w:tcBorders>
              <w:top w:val="nil"/>
              <w:left w:val="nil"/>
              <w:bottom w:val="nil"/>
              <w:right w:val="nil"/>
            </w:tcBorders>
            <w:shd w:val="clear" w:color="000000" w:fill="BB1823"/>
            <w:vAlign w:val="center"/>
            <w:hideMark/>
          </w:tcPr>
          <w:p w14:paraId="0407CD3A" w14:textId="77777777" w:rsidR="00646C38" w:rsidRPr="00646C38" w:rsidRDefault="00646C38" w:rsidP="00646C38">
            <w:pPr>
              <w:jc w:val="center"/>
              <w:rPr>
                <w:rFonts w:eastAsia="Times New Roman" w:cs="Calibri"/>
                <w:b/>
                <w:bCs/>
                <w:color w:val="FFFFFF"/>
                <w:sz w:val="18"/>
                <w:szCs w:val="18"/>
                <w:lang w:eastAsia="es-CL"/>
              </w:rPr>
            </w:pPr>
            <w:r w:rsidRPr="00646C38">
              <w:rPr>
                <w:rFonts w:eastAsia="Times New Roman" w:cs="Calibri"/>
                <w:b/>
                <w:bCs/>
                <w:color w:val="FFFFFF"/>
                <w:sz w:val="18"/>
                <w:szCs w:val="18"/>
                <w:lang w:eastAsia="es-CL"/>
              </w:rPr>
              <w:t>2019</w:t>
            </w:r>
          </w:p>
        </w:tc>
        <w:tc>
          <w:tcPr>
            <w:tcW w:w="1200" w:type="dxa"/>
            <w:tcBorders>
              <w:top w:val="nil"/>
              <w:left w:val="nil"/>
              <w:bottom w:val="nil"/>
              <w:right w:val="nil"/>
            </w:tcBorders>
            <w:shd w:val="clear" w:color="000000" w:fill="BB1823"/>
            <w:vAlign w:val="center"/>
            <w:hideMark/>
          </w:tcPr>
          <w:p w14:paraId="3A58D36E" w14:textId="77777777" w:rsidR="00646C38" w:rsidRPr="00646C38" w:rsidRDefault="00646C38" w:rsidP="00646C38">
            <w:pPr>
              <w:jc w:val="center"/>
              <w:rPr>
                <w:rFonts w:eastAsia="Times New Roman" w:cs="Calibri"/>
                <w:b/>
                <w:bCs/>
                <w:color w:val="FFFFFF"/>
                <w:sz w:val="18"/>
                <w:szCs w:val="18"/>
                <w:lang w:eastAsia="es-CL"/>
              </w:rPr>
            </w:pPr>
            <w:r w:rsidRPr="00646C38">
              <w:rPr>
                <w:rFonts w:eastAsia="Times New Roman" w:cs="Calibri"/>
                <w:b/>
                <w:bCs/>
                <w:color w:val="FFFFFF"/>
                <w:sz w:val="18"/>
                <w:szCs w:val="18"/>
                <w:lang w:eastAsia="es-CL"/>
              </w:rPr>
              <w:t>2020</w:t>
            </w:r>
          </w:p>
        </w:tc>
        <w:tc>
          <w:tcPr>
            <w:tcW w:w="1200" w:type="dxa"/>
            <w:tcBorders>
              <w:top w:val="nil"/>
              <w:left w:val="nil"/>
              <w:bottom w:val="nil"/>
              <w:right w:val="nil"/>
            </w:tcBorders>
            <w:shd w:val="clear" w:color="000000" w:fill="BB1823"/>
            <w:vAlign w:val="center"/>
            <w:hideMark/>
          </w:tcPr>
          <w:p w14:paraId="7CB406FD" w14:textId="77777777" w:rsidR="00646C38" w:rsidRPr="00646C38" w:rsidRDefault="00646C38" w:rsidP="00646C38">
            <w:pPr>
              <w:jc w:val="center"/>
              <w:rPr>
                <w:rFonts w:eastAsia="Times New Roman" w:cs="Calibri"/>
                <w:b/>
                <w:bCs/>
                <w:color w:val="FFFFFF"/>
                <w:sz w:val="18"/>
                <w:szCs w:val="18"/>
                <w:lang w:eastAsia="es-CL"/>
              </w:rPr>
            </w:pPr>
            <w:r w:rsidRPr="00646C38">
              <w:rPr>
                <w:rFonts w:eastAsia="Times New Roman" w:cs="Calibri"/>
                <w:b/>
                <w:bCs/>
                <w:color w:val="FFFFFF"/>
                <w:sz w:val="18"/>
                <w:szCs w:val="18"/>
                <w:lang w:eastAsia="es-CL"/>
              </w:rPr>
              <w:t>jun-21</w:t>
            </w:r>
          </w:p>
        </w:tc>
      </w:tr>
      <w:tr w:rsidR="00646C38" w:rsidRPr="00646C38" w14:paraId="2E8D7747" w14:textId="77777777" w:rsidTr="007C18CE">
        <w:trPr>
          <w:trHeight w:val="480"/>
          <w:jc w:val="center"/>
        </w:trPr>
        <w:tc>
          <w:tcPr>
            <w:tcW w:w="2476" w:type="dxa"/>
            <w:tcBorders>
              <w:top w:val="nil"/>
              <w:left w:val="nil"/>
              <w:bottom w:val="dotted" w:sz="4" w:space="0" w:color="BB1823"/>
              <w:right w:val="nil"/>
            </w:tcBorders>
            <w:shd w:val="clear" w:color="auto" w:fill="auto"/>
            <w:vAlign w:val="center"/>
            <w:hideMark/>
          </w:tcPr>
          <w:p w14:paraId="5424A41C"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Liquidez (veces)</w:t>
            </w:r>
          </w:p>
        </w:tc>
        <w:tc>
          <w:tcPr>
            <w:tcW w:w="1200" w:type="dxa"/>
            <w:tcBorders>
              <w:top w:val="nil"/>
              <w:left w:val="nil"/>
              <w:bottom w:val="dotted" w:sz="4" w:space="0" w:color="BB1823"/>
              <w:right w:val="nil"/>
            </w:tcBorders>
            <w:shd w:val="clear" w:color="auto" w:fill="auto"/>
            <w:vAlign w:val="center"/>
            <w:hideMark/>
          </w:tcPr>
          <w:p w14:paraId="1CB8AEED"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1,64</w:t>
            </w:r>
          </w:p>
        </w:tc>
        <w:tc>
          <w:tcPr>
            <w:tcW w:w="1200" w:type="dxa"/>
            <w:tcBorders>
              <w:top w:val="nil"/>
              <w:left w:val="nil"/>
              <w:bottom w:val="dotted" w:sz="4" w:space="0" w:color="BB1823"/>
              <w:right w:val="nil"/>
            </w:tcBorders>
            <w:shd w:val="clear" w:color="auto" w:fill="auto"/>
            <w:vAlign w:val="center"/>
            <w:hideMark/>
          </w:tcPr>
          <w:p w14:paraId="741B6B06"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1,67</w:t>
            </w:r>
          </w:p>
        </w:tc>
        <w:tc>
          <w:tcPr>
            <w:tcW w:w="1200" w:type="dxa"/>
            <w:tcBorders>
              <w:top w:val="nil"/>
              <w:left w:val="nil"/>
              <w:bottom w:val="dotted" w:sz="4" w:space="0" w:color="BB1823"/>
              <w:right w:val="nil"/>
            </w:tcBorders>
            <w:shd w:val="clear" w:color="auto" w:fill="auto"/>
            <w:vAlign w:val="center"/>
            <w:hideMark/>
          </w:tcPr>
          <w:p w14:paraId="5AE5B678"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1,74</w:t>
            </w:r>
          </w:p>
        </w:tc>
        <w:tc>
          <w:tcPr>
            <w:tcW w:w="1200" w:type="dxa"/>
            <w:tcBorders>
              <w:top w:val="nil"/>
              <w:left w:val="nil"/>
              <w:bottom w:val="dotted" w:sz="4" w:space="0" w:color="BB1823"/>
              <w:right w:val="nil"/>
            </w:tcBorders>
            <w:shd w:val="clear" w:color="auto" w:fill="auto"/>
            <w:vAlign w:val="center"/>
            <w:hideMark/>
          </w:tcPr>
          <w:p w14:paraId="39960C03"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1,79</w:t>
            </w:r>
          </w:p>
        </w:tc>
        <w:tc>
          <w:tcPr>
            <w:tcW w:w="1200" w:type="dxa"/>
            <w:tcBorders>
              <w:top w:val="nil"/>
              <w:left w:val="nil"/>
              <w:bottom w:val="dotted" w:sz="4" w:space="0" w:color="BB1823"/>
              <w:right w:val="nil"/>
            </w:tcBorders>
            <w:shd w:val="clear" w:color="auto" w:fill="auto"/>
            <w:vAlign w:val="center"/>
            <w:hideMark/>
          </w:tcPr>
          <w:p w14:paraId="4C579094"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1,76</w:t>
            </w:r>
          </w:p>
        </w:tc>
        <w:tc>
          <w:tcPr>
            <w:tcW w:w="1200" w:type="dxa"/>
            <w:tcBorders>
              <w:top w:val="nil"/>
              <w:left w:val="nil"/>
              <w:bottom w:val="dotted" w:sz="4" w:space="0" w:color="BB1823"/>
              <w:right w:val="nil"/>
            </w:tcBorders>
            <w:shd w:val="clear" w:color="auto" w:fill="auto"/>
            <w:vAlign w:val="center"/>
            <w:hideMark/>
          </w:tcPr>
          <w:p w14:paraId="56524E2A"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1,75</w:t>
            </w:r>
          </w:p>
        </w:tc>
      </w:tr>
      <w:tr w:rsidR="00646C38" w:rsidRPr="00646C38" w14:paraId="0D173F34" w14:textId="77777777" w:rsidTr="00991767">
        <w:trPr>
          <w:trHeight w:val="456"/>
          <w:jc w:val="center"/>
        </w:trPr>
        <w:tc>
          <w:tcPr>
            <w:tcW w:w="2476" w:type="dxa"/>
            <w:tcBorders>
              <w:top w:val="nil"/>
              <w:left w:val="nil"/>
              <w:bottom w:val="dotted" w:sz="4" w:space="0" w:color="BB1823"/>
              <w:right w:val="nil"/>
            </w:tcBorders>
            <w:shd w:val="clear" w:color="000000" w:fill="FFFFFF"/>
            <w:vAlign w:val="center"/>
            <w:hideMark/>
          </w:tcPr>
          <w:p w14:paraId="0425A65A"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Razón Circulante (Veces)</w:t>
            </w:r>
          </w:p>
        </w:tc>
        <w:tc>
          <w:tcPr>
            <w:tcW w:w="1200" w:type="dxa"/>
            <w:tcBorders>
              <w:top w:val="nil"/>
              <w:left w:val="nil"/>
              <w:bottom w:val="dotted" w:sz="4" w:space="0" w:color="BB1823"/>
              <w:right w:val="nil"/>
            </w:tcBorders>
            <w:shd w:val="clear" w:color="auto" w:fill="auto"/>
            <w:vAlign w:val="center"/>
            <w:hideMark/>
          </w:tcPr>
          <w:p w14:paraId="336B9014"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1,65</w:t>
            </w:r>
          </w:p>
        </w:tc>
        <w:tc>
          <w:tcPr>
            <w:tcW w:w="1200" w:type="dxa"/>
            <w:tcBorders>
              <w:top w:val="nil"/>
              <w:left w:val="nil"/>
              <w:bottom w:val="dotted" w:sz="4" w:space="0" w:color="BB1823"/>
              <w:right w:val="nil"/>
            </w:tcBorders>
            <w:shd w:val="clear" w:color="auto" w:fill="auto"/>
            <w:vAlign w:val="center"/>
            <w:hideMark/>
          </w:tcPr>
          <w:p w14:paraId="408330BF"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1,57</w:t>
            </w:r>
          </w:p>
        </w:tc>
        <w:tc>
          <w:tcPr>
            <w:tcW w:w="1200" w:type="dxa"/>
            <w:tcBorders>
              <w:top w:val="nil"/>
              <w:left w:val="nil"/>
              <w:bottom w:val="dotted" w:sz="4" w:space="0" w:color="BB1823"/>
              <w:right w:val="nil"/>
            </w:tcBorders>
            <w:shd w:val="clear" w:color="auto" w:fill="auto"/>
            <w:vAlign w:val="center"/>
            <w:hideMark/>
          </w:tcPr>
          <w:p w14:paraId="03F1F54B"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1,57</w:t>
            </w:r>
          </w:p>
        </w:tc>
        <w:tc>
          <w:tcPr>
            <w:tcW w:w="1200" w:type="dxa"/>
            <w:tcBorders>
              <w:top w:val="nil"/>
              <w:left w:val="nil"/>
              <w:bottom w:val="dotted" w:sz="4" w:space="0" w:color="BB1823"/>
              <w:right w:val="nil"/>
            </w:tcBorders>
            <w:shd w:val="clear" w:color="auto" w:fill="auto"/>
            <w:vAlign w:val="center"/>
            <w:hideMark/>
          </w:tcPr>
          <w:p w14:paraId="745BF2EB"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1,55</w:t>
            </w:r>
          </w:p>
        </w:tc>
        <w:tc>
          <w:tcPr>
            <w:tcW w:w="1200" w:type="dxa"/>
            <w:tcBorders>
              <w:top w:val="nil"/>
              <w:left w:val="nil"/>
              <w:bottom w:val="dotted" w:sz="4" w:space="0" w:color="BB1823"/>
              <w:right w:val="nil"/>
            </w:tcBorders>
            <w:shd w:val="clear" w:color="auto" w:fill="auto"/>
            <w:vAlign w:val="center"/>
            <w:hideMark/>
          </w:tcPr>
          <w:p w14:paraId="068315D0"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1,48</w:t>
            </w:r>
          </w:p>
        </w:tc>
        <w:tc>
          <w:tcPr>
            <w:tcW w:w="1200" w:type="dxa"/>
            <w:tcBorders>
              <w:top w:val="nil"/>
              <w:left w:val="nil"/>
              <w:bottom w:val="dotted" w:sz="4" w:space="0" w:color="BB1823"/>
              <w:right w:val="nil"/>
            </w:tcBorders>
            <w:shd w:val="clear" w:color="auto" w:fill="auto"/>
            <w:vAlign w:val="center"/>
            <w:hideMark/>
          </w:tcPr>
          <w:p w14:paraId="6DE88A87"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1,33</w:t>
            </w:r>
          </w:p>
        </w:tc>
      </w:tr>
      <w:tr w:rsidR="00646C38" w:rsidRPr="00646C38" w14:paraId="5F8CCD54" w14:textId="77777777" w:rsidTr="00991767">
        <w:trPr>
          <w:trHeight w:val="419"/>
          <w:jc w:val="center"/>
        </w:trPr>
        <w:tc>
          <w:tcPr>
            <w:tcW w:w="2476" w:type="dxa"/>
            <w:tcBorders>
              <w:top w:val="nil"/>
              <w:left w:val="nil"/>
              <w:bottom w:val="dotted" w:sz="4" w:space="0" w:color="BB1823"/>
              <w:right w:val="nil"/>
            </w:tcBorders>
            <w:shd w:val="clear" w:color="000000" w:fill="FFFFFF"/>
            <w:vAlign w:val="center"/>
            <w:hideMark/>
          </w:tcPr>
          <w:p w14:paraId="4FE05F91"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 xml:space="preserve">Razón </w:t>
            </w:r>
            <w:proofErr w:type="spellStart"/>
            <w:r w:rsidRPr="00646C38">
              <w:rPr>
                <w:rFonts w:eastAsia="Times New Roman" w:cs="Calibri"/>
                <w:color w:val="333D6B"/>
                <w:sz w:val="18"/>
                <w:szCs w:val="18"/>
                <w:lang w:eastAsia="es-CL"/>
              </w:rPr>
              <w:t>Circ</w:t>
            </w:r>
            <w:proofErr w:type="spellEnd"/>
            <w:r w:rsidRPr="00646C38">
              <w:rPr>
                <w:rFonts w:eastAsia="Times New Roman" w:cs="Calibri"/>
                <w:color w:val="333D6B"/>
                <w:sz w:val="18"/>
                <w:szCs w:val="18"/>
                <w:lang w:eastAsia="es-CL"/>
              </w:rPr>
              <w:t>. (s/</w:t>
            </w:r>
            <w:proofErr w:type="spellStart"/>
            <w:r w:rsidRPr="00646C38">
              <w:rPr>
                <w:rFonts w:eastAsia="Times New Roman" w:cs="Calibri"/>
                <w:color w:val="333D6B"/>
                <w:sz w:val="18"/>
                <w:szCs w:val="18"/>
                <w:lang w:eastAsia="es-CL"/>
              </w:rPr>
              <w:t>CxC</w:t>
            </w:r>
            <w:proofErr w:type="spellEnd"/>
            <w:r w:rsidRPr="00646C38">
              <w:rPr>
                <w:rFonts w:eastAsia="Times New Roman" w:cs="Calibri"/>
                <w:color w:val="333D6B"/>
                <w:sz w:val="18"/>
                <w:szCs w:val="18"/>
                <w:lang w:eastAsia="es-CL"/>
              </w:rPr>
              <w:t xml:space="preserve"> a </w:t>
            </w:r>
            <w:proofErr w:type="spellStart"/>
            <w:r w:rsidRPr="00646C38">
              <w:rPr>
                <w:rFonts w:eastAsia="Times New Roman" w:cs="Calibri"/>
                <w:color w:val="333D6B"/>
                <w:sz w:val="18"/>
                <w:szCs w:val="18"/>
                <w:lang w:eastAsia="es-CL"/>
              </w:rPr>
              <w:t>Emp</w:t>
            </w:r>
            <w:proofErr w:type="spellEnd"/>
            <w:r w:rsidRPr="00646C38">
              <w:rPr>
                <w:rFonts w:eastAsia="Times New Roman" w:cs="Calibri"/>
                <w:color w:val="333D6B"/>
                <w:sz w:val="18"/>
                <w:szCs w:val="18"/>
                <w:lang w:eastAsia="es-CL"/>
              </w:rPr>
              <w:t xml:space="preserve">. </w:t>
            </w:r>
            <w:proofErr w:type="spellStart"/>
            <w:r w:rsidRPr="00646C38">
              <w:rPr>
                <w:rFonts w:eastAsia="Times New Roman" w:cs="Calibri"/>
                <w:color w:val="333D6B"/>
                <w:sz w:val="18"/>
                <w:szCs w:val="18"/>
                <w:lang w:eastAsia="es-CL"/>
              </w:rPr>
              <w:t>Relac</w:t>
            </w:r>
            <w:proofErr w:type="spellEnd"/>
            <w:r w:rsidRPr="00646C38">
              <w:rPr>
                <w:rFonts w:eastAsia="Times New Roman" w:cs="Calibri"/>
                <w:color w:val="333D6B"/>
                <w:sz w:val="18"/>
                <w:szCs w:val="18"/>
                <w:lang w:eastAsia="es-CL"/>
              </w:rPr>
              <w:t>.) (veces)</w:t>
            </w:r>
          </w:p>
        </w:tc>
        <w:tc>
          <w:tcPr>
            <w:tcW w:w="1200" w:type="dxa"/>
            <w:tcBorders>
              <w:top w:val="nil"/>
              <w:left w:val="nil"/>
              <w:bottom w:val="dotted" w:sz="4" w:space="0" w:color="BB1823"/>
              <w:right w:val="nil"/>
            </w:tcBorders>
            <w:shd w:val="clear" w:color="auto" w:fill="auto"/>
            <w:vAlign w:val="center"/>
            <w:hideMark/>
          </w:tcPr>
          <w:p w14:paraId="6DBF27EC"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1,52</w:t>
            </w:r>
          </w:p>
        </w:tc>
        <w:tc>
          <w:tcPr>
            <w:tcW w:w="1200" w:type="dxa"/>
            <w:tcBorders>
              <w:top w:val="nil"/>
              <w:left w:val="nil"/>
              <w:bottom w:val="dotted" w:sz="4" w:space="0" w:color="BB1823"/>
              <w:right w:val="nil"/>
            </w:tcBorders>
            <w:shd w:val="clear" w:color="auto" w:fill="auto"/>
            <w:vAlign w:val="center"/>
            <w:hideMark/>
          </w:tcPr>
          <w:p w14:paraId="596B784D"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1,43</w:t>
            </w:r>
          </w:p>
        </w:tc>
        <w:tc>
          <w:tcPr>
            <w:tcW w:w="1200" w:type="dxa"/>
            <w:tcBorders>
              <w:top w:val="nil"/>
              <w:left w:val="nil"/>
              <w:bottom w:val="dotted" w:sz="4" w:space="0" w:color="BB1823"/>
              <w:right w:val="nil"/>
            </w:tcBorders>
            <w:shd w:val="clear" w:color="auto" w:fill="auto"/>
            <w:vAlign w:val="center"/>
            <w:hideMark/>
          </w:tcPr>
          <w:p w14:paraId="0AF30DA6"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1,49</w:t>
            </w:r>
          </w:p>
        </w:tc>
        <w:tc>
          <w:tcPr>
            <w:tcW w:w="1200" w:type="dxa"/>
            <w:tcBorders>
              <w:top w:val="nil"/>
              <w:left w:val="nil"/>
              <w:bottom w:val="dotted" w:sz="4" w:space="0" w:color="BB1823"/>
              <w:right w:val="nil"/>
            </w:tcBorders>
            <w:shd w:val="clear" w:color="auto" w:fill="auto"/>
            <w:vAlign w:val="center"/>
            <w:hideMark/>
          </w:tcPr>
          <w:p w14:paraId="295F4D75"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1,41</w:t>
            </w:r>
          </w:p>
        </w:tc>
        <w:tc>
          <w:tcPr>
            <w:tcW w:w="1200" w:type="dxa"/>
            <w:tcBorders>
              <w:top w:val="nil"/>
              <w:left w:val="nil"/>
              <w:bottom w:val="dotted" w:sz="4" w:space="0" w:color="BB1823"/>
              <w:right w:val="nil"/>
            </w:tcBorders>
            <w:shd w:val="clear" w:color="auto" w:fill="auto"/>
            <w:vAlign w:val="center"/>
            <w:hideMark/>
          </w:tcPr>
          <w:p w14:paraId="482B452A"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1,33</w:t>
            </w:r>
          </w:p>
        </w:tc>
        <w:tc>
          <w:tcPr>
            <w:tcW w:w="1200" w:type="dxa"/>
            <w:tcBorders>
              <w:top w:val="nil"/>
              <w:left w:val="nil"/>
              <w:bottom w:val="dotted" w:sz="4" w:space="0" w:color="BB1823"/>
              <w:right w:val="nil"/>
            </w:tcBorders>
            <w:shd w:val="clear" w:color="auto" w:fill="auto"/>
            <w:vAlign w:val="center"/>
            <w:hideMark/>
          </w:tcPr>
          <w:p w14:paraId="3F0936EC"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1,27</w:t>
            </w:r>
          </w:p>
        </w:tc>
      </w:tr>
      <w:tr w:rsidR="00646C38" w:rsidRPr="00646C38" w14:paraId="6F01601C" w14:textId="77777777" w:rsidTr="007C18CE">
        <w:trPr>
          <w:trHeight w:val="480"/>
          <w:jc w:val="center"/>
        </w:trPr>
        <w:tc>
          <w:tcPr>
            <w:tcW w:w="2476" w:type="dxa"/>
            <w:tcBorders>
              <w:top w:val="nil"/>
              <w:left w:val="nil"/>
              <w:bottom w:val="dotted" w:sz="4" w:space="0" w:color="BB1823"/>
              <w:right w:val="nil"/>
            </w:tcBorders>
            <w:shd w:val="clear" w:color="auto" w:fill="auto"/>
            <w:vAlign w:val="center"/>
            <w:hideMark/>
          </w:tcPr>
          <w:p w14:paraId="37AE084D"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Razón Ácida (veces)</w:t>
            </w:r>
          </w:p>
        </w:tc>
        <w:tc>
          <w:tcPr>
            <w:tcW w:w="1200" w:type="dxa"/>
            <w:tcBorders>
              <w:top w:val="nil"/>
              <w:left w:val="nil"/>
              <w:bottom w:val="dotted" w:sz="4" w:space="0" w:color="BB1823"/>
              <w:right w:val="nil"/>
            </w:tcBorders>
            <w:shd w:val="clear" w:color="auto" w:fill="auto"/>
            <w:vAlign w:val="center"/>
            <w:hideMark/>
          </w:tcPr>
          <w:p w14:paraId="2A814452"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0,74</w:t>
            </w:r>
          </w:p>
        </w:tc>
        <w:tc>
          <w:tcPr>
            <w:tcW w:w="1200" w:type="dxa"/>
            <w:tcBorders>
              <w:top w:val="nil"/>
              <w:left w:val="nil"/>
              <w:bottom w:val="dotted" w:sz="4" w:space="0" w:color="BB1823"/>
              <w:right w:val="nil"/>
            </w:tcBorders>
            <w:shd w:val="clear" w:color="auto" w:fill="auto"/>
            <w:vAlign w:val="center"/>
            <w:hideMark/>
          </w:tcPr>
          <w:p w14:paraId="3C26C92B"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0,73</w:t>
            </w:r>
          </w:p>
        </w:tc>
        <w:tc>
          <w:tcPr>
            <w:tcW w:w="1200" w:type="dxa"/>
            <w:tcBorders>
              <w:top w:val="nil"/>
              <w:left w:val="nil"/>
              <w:bottom w:val="dotted" w:sz="4" w:space="0" w:color="BB1823"/>
              <w:right w:val="nil"/>
            </w:tcBorders>
            <w:shd w:val="clear" w:color="auto" w:fill="auto"/>
            <w:vAlign w:val="center"/>
            <w:hideMark/>
          </w:tcPr>
          <w:p w14:paraId="3700461F"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0,58</w:t>
            </w:r>
          </w:p>
        </w:tc>
        <w:tc>
          <w:tcPr>
            <w:tcW w:w="1200" w:type="dxa"/>
            <w:tcBorders>
              <w:top w:val="nil"/>
              <w:left w:val="nil"/>
              <w:bottom w:val="dotted" w:sz="4" w:space="0" w:color="BB1823"/>
              <w:right w:val="nil"/>
            </w:tcBorders>
            <w:shd w:val="clear" w:color="auto" w:fill="auto"/>
            <w:vAlign w:val="center"/>
            <w:hideMark/>
          </w:tcPr>
          <w:p w14:paraId="208EE263"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0,65</w:t>
            </w:r>
          </w:p>
        </w:tc>
        <w:tc>
          <w:tcPr>
            <w:tcW w:w="1200" w:type="dxa"/>
            <w:tcBorders>
              <w:top w:val="nil"/>
              <w:left w:val="nil"/>
              <w:bottom w:val="dotted" w:sz="4" w:space="0" w:color="BB1823"/>
              <w:right w:val="nil"/>
            </w:tcBorders>
            <w:shd w:val="clear" w:color="auto" w:fill="auto"/>
            <w:vAlign w:val="center"/>
            <w:hideMark/>
          </w:tcPr>
          <w:p w14:paraId="248FC29D"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0,68</w:t>
            </w:r>
          </w:p>
        </w:tc>
        <w:tc>
          <w:tcPr>
            <w:tcW w:w="1200" w:type="dxa"/>
            <w:tcBorders>
              <w:top w:val="nil"/>
              <w:left w:val="nil"/>
              <w:bottom w:val="dotted" w:sz="4" w:space="0" w:color="BB1823"/>
              <w:right w:val="nil"/>
            </w:tcBorders>
            <w:shd w:val="clear" w:color="auto" w:fill="auto"/>
            <w:vAlign w:val="center"/>
            <w:hideMark/>
          </w:tcPr>
          <w:p w14:paraId="3A29C1EC"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0,59</w:t>
            </w:r>
          </w:p>
        </w:tc>
      </w:tr>
      <w:tr w:rsidR="00646C38" w:rsidRPr="00646C38" w14:paraId="393D199C" w14:textId="77777777" w:rsidTr="00991767">
        <w:trPr>
          <w:trHeight w:val="491"/>
          <w:jc w:val="center"/>
        </w:trPr>
        <w:tc>
          <w:tcPr>
            <w:tcW w:w="2476" w:type="dxa"/>
            <w:tcBorders>
              <w:top w:val="nil"/>
              <w:left w:val="nil"/>
              <w:bottom w:val="nil"/>
              <w:right w:val="nil"/>
            </w:tcBorders>
            <w:shd w:val="clear" w:color="auto" w:fill="auto"/>
            <w:vAlign w:val="center"/>
            <w:hideMark/>
          </w:tcPr>
          <w:p w14:paraId="22D10929"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Rotación de Inventarios (veces)</w:t>
            </w:r>
          </w:p>
        </w:tc>
        <w:tc>
          <w:tcPr>
            <w:tcW w:w="1200" w:type="dxa"/>
            <w:tcBorders>
              <w:top w:val="nil"/>
              <w:left w:val="nil"/>
              <w:bottom w:val="dotted" w:sz="4" w:space="0" w:color="BB1823"/>
              <w:right w:val="nil"/>
            </w:tcBorders>
            <w:shd w:val="clear" w:color="auto" w:fill="auto"/>
            <w:vAlign w:val="center"/>
            <w:hideMark/>
          </w:tcPr>
          <w:p w14:paraId="48592E74"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1,62</w:t>
            </w:r>
          </w:p>
        </w:tc>
        <w:tc>
          <w:tcPr>
            <w:tcW w:w="1200" w:type="dxa"/>
            <w:tcBorders>
              <w:top w:val="nil"/>
              <w:left w:val="nil"/>
              <w:bottom w:val="dotted" w:sz="4" w:space="0" w:color="BB1823"/>
              <w:right w:val="nil"/>
            </w:tcBorders>
            <w:shd w:val="clear" w:color="auto" w:fill="auto"/>
            <w:vAlign w:val="center"/>
            <w:hideMark/>
          </w:tcPr>
          <w:p w14:paraId="2057F9B3"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1,50</w:t>
            </w:r>
          </w:p>
        </w:tc>
        <w:tc>
          <w:tcPr>
            <w:tcW w:w="1200" w:type="dxa"/>
            <w:tcBorders>
              <w:top w:val="nil"/>
              <w:left w:val="nil"/>
              <w:bottom w:val="dotted" w:sz="4" w:space="0" w:color="BB1823"/>
              <w:right w:val="nil"/>
            </w:tcBorders>
            <w:shd w:val="clear" w:color="auto" w:fill="auto"/>
            <w:vAlign w:val="center"/>
            <w:hideMark/>
          </w:tcPr>
          <w:p w14:paraId="6A130E88"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1,48</w:t>
            </w:r>
          </w:p>
        </w:tc>
        <w:tc>
          <w:tcPr>
            <w:tcW w:w="1200" w:type="dxa"/>
            <w:tcBorders>
              <w:top w:val="nil"/>
              <w:left w:val="nil"/>
              <w:bottom w:val="dotted" w:sz="4" w:space="0" w:color="BB1823"/>
              <w:right w:val="nil"/>
            </w:tcBorders>
            <w:shd w:val="clear" w:color="auto" w:fill="auto"/>
            <w:vAlign w:val="center"/>
            <w:hideMark/>
          </w:tcPr>
          <w:p w14:paraId="782174AF"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1,44</w:t>
            </w:r>
          </w:p>
        </w:tc>
        <w:tc>
          <w:tcPr>
            <w:tcW w:w="1200" w:type="dxa"/>
            <w:tcBorders>
              <w:top w:val="nil"/>
              <w:left w:val="nil"/>
              <w:bottom w:val="dotted" w:sz="4" w:space="0" w:color="BB1823"/>
              <w:right w:val="nil"/>
            </w:tcBorders>
            <w:shd w:val="clear" w:color="auto" w:fill="auto"/>
            <w:vAlign w:val="center"/>
            <w:hideMark/>
          </w:tcPr>
          <w:p w14:paraId="36865263"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1,43</w:t>
            </w:r>
          </w:p>
        </w:tc>
        <w:tc>
          <w:tcPr>
            <w:tcW w:w="1200" w:type="dxa"/>
            <w:tcBorders>
              <w:top w:val="nil"/>
              <w:left w:val="nil"/>
              <w:bottom w:val="dotted" w:sz="4" w:space="0" w:color="BB1823"/>
              <w:right w:val="nil"/>
            </w:tcBorders>
            <w:shd w:val="clear" w:color="auto" w:fill="auto"/>
            <w:vAlign w:val="center"/>
            <w:hideMark/>
          </w:tcPr>
          <w:p w14:paraId="5A1380B2"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1,53</w:t>
            </w:r>
          </w:p>
        </w:tc>
      </w:tr>
      <w:tr w:rsidR="00646C38" w:rsidRPr="00646C38" w14:paraId="114A9A01" w14:textId="77777777" w:rsidTr="00991767">
        <w:trPr>
          <w:trHeight w:val="555"/>
          <w:jc w:val="center"/>
        </w:trPr>
        <w:tc>
          <w:tcPr>
            <w:tcW w:w="2476" w:type="dxa"/>
            <w:tcBorders>
              <w:top w:val="dotted" w:sz="4" w:space="0" w:color="BB1823"/>
              <w:left w:val="nil"/>
              <w:bottom w:val="dotted" w:sz="4" w:space="0" w:color="BB1823"/>
              <w:right w:val="nil"/>
            </w:tcBorders>
            <w:shd w:val="clear" w:color="auto" w:fill="auto"/>
            <w:vAlign w:val="center"/>
            <w:hideMark/>
          </w:tcPr>
          <w:p w14:paraId="780C538E"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Promedio Días de Inventarios (días)</w:t>
            </w:r>
          </w:p>
        </w:tc>
        <w:tc>
          <w:tcPr>
            <w:tcW w:w="1200" w:type="dxa"/>
            <w:tcBorders>
              <w:top w:val="nil"/>
              <w:left w:val="nil"/>
              <w:bottom w:val="dotted" w:sz="4" w:space="0" w:color="BB1823"/>
              <w:right w:val="nil"/>
            </w:tcBorders>
            <w:shd w:val="clear" w:color="auto" w:fill="auto"/>
            <w:vAlign w:val="center"/>
            <w:hideMark/>
          </w:tcPr>
          <w:p w14:paraId="0BEE5F48"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224,78</w:t>
            </w:r>
          </w:p>
        </w:tc>
        <w:tc>
          <w:tcPr>
            <w:tcW w:w="1200" w:type="dxa"/>
            <w:tcBorders>
              <w:top w:val="nil"/>
              <w:left w:val="nil"/>
              <w:bottom w:val="dotted" w:sz="4" w:space="0" w:color="BB1823"/>
              <w:right w:val="nil"/>
            </w:tcBorders>
            <w:shd w:val="clear" w:color="auto" w:fill="auto"/>
            <w:vAlign w:val="center"/>
            <w:hideMark/>
          </w:tcPr>
          <w:p w14:paraId="52CA07D3"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243,96</w:t>
            </w:r>
          </w:p>
        </w:tc>
        <w:tc>
          <w:tcPr>
            <w:tcW w:w="1200" w:type="dxa"/>
            <w:tcBorders>
              <w:top w:val="nil"/>
              <w:left w:val="nil"/>
              <w:bottom w:val="dotted" w:sz="4" w:space="0" w:color="BB1823"/>
              <w:right w:val="nil"/>
            </w:tcBorders>
            <w:shd w:val="clear" w:color="auto" w:fill="auto"/>
            <w:vAlign w:val="center"/>
            <w:hideMark/>
          </w:tcPr>
          <w:p w14:paraId="2B9B0C1C"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246,78</w:t>
            </w:r>
          </w:p>
        </w:tc>
        <w:tc>
          <w:tcPr>
            <w:tcW w:w="1200" w:type="dxa"/>
            <w:tcBorders>
              <w:top w:val="nil"/>
              <w:left w:val="nil"/>
              <w:bottom w:val="dotted" w:sz="4" w:space="0" w:color="BB1823"/>
              <w:right w:val="nil"/>
            </w:tcBorders>
            <w:shd w:val="clear" w:color="auto" w:fill="auto"/>
            <w:vAlign w:val="center"/>
            <w:hideMark/>
          </w:tcPr>
          <w:p w14:paraId="762C5B92"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253,09</w:t>
            </w:r>
          </w:p>
        </w:tc>
        <w:tc>
          <w:tcPr>
            <w:tcW w:w="1200" w:type="dxa"/>
            <w:tcBorders>
              <w:top w:val="nil"/>
              <w:left w:val="nil"/>
              <w:bottom w:val="dotted" w:sz="4" w:space="0" w:color="BB1823"/>
              <w:right w:val="nil"/>
            </w:tcBorders>
            <w:shd w:val="clear" w:color="auto" w:fill="auto"/>
            <w:vAlign w:val="center"/>
            <w:hideMark/>
          </w:tcPr>
          <w:p w14:paraId="1EC1E23B"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256,01</w:t>
            </w:r>
          </w:p>
        </w:tc>
        <w:tc>
          <w:tcPr>
            <w:tcW w:w="1200" w:type="dxa"/>
            <w:tcBorders>
              <w:top w:val="nil"/>
              <w:left w:val="nil"/>
              <w:bottom w:val="dotted" w:sz="4" w:space="0" w:color="BB1823"/>
              <w:right w:val="nil"/>
            </w:tcBorders>
            <w:shd w:val="clear" w:color="auto" w:fill="auto"/>
            <w:vAlign w:val="center"/>
            <w:hideMark/>
          </w:tcPr>
          <w:p w14:paraId="0F10C462"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239,05</w:t>
            </w:r>
          </w:p>
        </w:tc>
      </w:tr>
      <w:tr w:rsidR="00646C38" w:rsidRPr="00646C38" w14:paraId="6587AA1E" w14:textId="77777777" w:rsidTr="00991767">
        <w:trPr>
          <w:trHeight w:val="548"/>
          <w:jc w:val="center"/>
        </w:trPr>
        <w:tc>
          <w:tcPr>
            <w:tcW w:w="2476" w:type="dxa"/>
            <w:tcBorders>
              <w:top w:val="nil"/>
              <w:left w:val="nil"/>
              <w:bottom w:val="dotted" w:sz="4" w:space="0" w:color="BB1823"/>
              <w:right w:val="nil"/>
            </w:tcBorders>
            <w:shd w:val="clear" w:color="000000" w:fill="FFFFFF"/>
            <w:vAlign w:val="center"/>
            <w:hideMark/>
          </w:tcPr>
          <w:p w14:paraId="7602C6E4"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Rotación de Cuentas por Cobrar (veces)</w:t>
            </w:r>
          </w:p>
        </w:tc>
        <w:tc>
          <w:tcPr>
            <w:tcW w:w="1200" w:type="dxa"/>
            <w:tcBorders>
              <w:top w:val="nil"/>
              <w:left w:val="nil"/>
              <w:bottom w:val="dotted" w:sz="4" w:space="0" w:color="BB1823"/>
              <w:right w:val="nil"/>
            </w:tcBorders>
            <w:shd w:val="clear" w:color="auto" w:fill="auto"/>
            <w:vAlign w:val="center"/>
            <w:hideMark/>
          </w:tcPr>
          <w:p w14:paraId="63951150"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4,31</w:t>
            </w:r>
          </w:p>
        </w:tc>
        <w:tc>
          <w:tcPr>
            <w:tcW w:w="1200" w:type="dxa"/>
            <w:tcBorders>
              <w:top w:val="nil"/>
              <w:left w:val="nil"/>
              <w:bottom w:val="dotted" w:sz="4" w:space="0" w:color="BB1823"/>
              <w:right w:val="nil"/>
            </w:tcBorders>
            <w:shd w:val="clear" w:color="auto" w:fill="auto"/>
            <w:vAlign w:val="center"/>
            <w:hideMark/>
          </w:tcPr>
          <w:p w14:paraId="68C606E6"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3,96</w:t>
            </w:r>
          </w:p>
        </w:tc>
        <w:tc>
          <w:tcPr>
            <w:tcW w:w="1200" w:type="dxa"/>
            <w:tcBorders>
              <w:top w:val="nil"/>
              <w:left w:val="nil"/>
              <w:bottom w:val="dotted" w:sz="4" w:space="0" w:color="BB1823"/>
              <w:right w:val="nil"/>
            </w:tcBorders>
            <w:shd w:val="clear" w:color="auto" w:fill="auto"/>
            <w:vAlign w:val="center"/>
            <w:hideMark/>
          </w:tcPr>
          <w:p w14:paraId="1003816C"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4,93</w:t>
            </w:r>
          </w:p>
        </w:tc>
        <w:tc>
          <w:tcPr>
            <w:tcW w:w="1200" w:type="dxa"/>
            <w:tcBorders>
              <w:top w:val="nil"/>
              <w:left w:val="nil"/>
              <w:bottom w:val="dotted" w:sz="4" w:space="0" w:color="BB1823"/>
              <w:right w:val="nil"/>
            </w:tcBorders>
            <w:shd w:val="clear" w:color="auto" w:fill="auto"/>
            <w:vAlign w:val="center"/>
            <w:hideMark/>
          </w:tcPr>
          <w:p w14:paraId="7188B3DE"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5,07</w:t>
            </w:r>
          </w:p>
        </w:tc>
        <w:tc>
          <w:tcPr>
            <w:tcW w:w="1200" w:type="dxa"/>
            <w:tcBorders>
              <w:top w:val="nil"/>
              <w:left w:val="nil"/>
              <w:bottom w:val="dotted" w:sz="4" w:space="0" w:color="BB1823"/>
              <w:right w:val="nil"/>
            </w:tcBorders>
            <w:shd w:val="clear" w:color="auto" w:fill="auto"/>
            <w:vAlign w:val="center"/>
            <w:hideMark/>
          </w:tcPr>
          <w:p w14:paraId="24694F39"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4,50</w:t>
            </w:r>
          </w:p>
        </w:tc>
        <w:tc>
          <w:tcPr>
            <w:tcW w:w="1200" w:type="dxa"/>
            <w:tcBorders>
              <w:top w:val="nil"/>
              <w:left w:val="nil"/>
              <w:bottom w:val="dotted" w:sz="4" w:space="0" w:color="BB1823"/>
              <w:right w:val="nil"/>
            </w:tcBorders>
            <w:shd w:val="clear" w:color="auto" w:fill="auto"/>
            <w:vAlign w:val="center"/>
            <w:hideMark/>
          </w:tcPr>
          <w:p w14:paraId="7711160B"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4,70</w:t>
            </w:r>
          </w:p>
        </w:tc>
      </w:tr>
      <w:tr w:rsidR="00646C38" w:rsidRPr="00646C38" w14:paraId="186F141E" w14:textId="77777777" w:rsidTr="00991767">
        <w:trPr>
          <w:trHeight w:val="557"/>
          <w:jc w:val="center"/>
        </w:trPr>
        <w:tc>
          <w:tcPr>
            <w:tcW w:w="2476" w:type="dxa"/>
            <w:tcBorders>
              <w:top w:val="nil"/>
              <w:left w:val="nil"/>
              <w:bottom w:val="dotted" w:sz="4" w:space="0" w:color="BB1823"/>
              <w:right w:val="nil"/>
            </w:tcBorders>
            <w:shd w:val="clear" w:color="000000" w:fill="FFFFFF"/>
            <w:vAlign w:val="center"/>
            <w:hideMark/>
          </w:tcPr>
          <w:p w14:paraId="20962022"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Promedio Días de Cuentas por Cobrar (días)</w:t>
            </w:r>
          </w:p>
        </w:tc>
        <w:tc>
          <w:tcPr>
            <w:tcW w:w="1200" w:type="dxa"/>
            <w:tcBorders>
              <w:top w:val="nil"/>
              <w:left w:val="nil"/>
              <w:bottom w:val="dotted" w:sz="4" w:space="0" w:color="BB1823"/>
              <w:right w:val="nil"/>
            </w:tcBorders>
            <w:shd w:val="clear" w:color="auto" w:fill="auto"/>
            <w:vAlign w:val="center"/>
            <w:hideMark/>
          </w:tcPr>
          <w:p w14:paraId="3A5B8D05"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84,66</w:t>
            </w:r>
          </w:p>
        </w:tc>
        <w:tc>
          <w:tcPr>
            <w:tcW w:w="1200" w:type="dxa"/>
            <w:tcBorders>
              <w:top w:val="nil"/>
              <w:left w:val="nil"/>
              <w:bottom w:val="dotted" w:sz="4" w:space="0" w:color="BB1823"/>
              <w:right w:val="nil"/>
            </w:tcBorders>
            <w:shd w:val="clear" w:color="auto" w:fill="auto"/>
            <w:vAlign w:val="center"/>
            <w:hideMark/>
          </w:tcPr>
          <w:p w14:paraId="653DDC65"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92,06</w:t>
            </w:r>
          </w:p>
        </w:tc>
        <w:tc>
          <w:tcPr>
            <w:tcW w:w="1200" w:type="dxa"/>
            <w:tcBorders>
              <w:top w:val="nil"/>
              <w:left w:val="nil"/>
              <w:bottom w:val="dotted" w:sz="4" w:space="0" w:color="BB1823"/>
              <w:right w:val="nil"/>
            </w:tcBorders>
            <w:shd w:val="clear" w:color="auto" w:fill="auto"/>
            <w:vAlign w:val="center"/>
            <w:hideMark/>
          </w:tcPr>
          <w:p w14:paraId="113CF7E5"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73,98</w:t>
            </w:r>
          </w:p>
        </w:tc>
        <w:tc>
          <w:tcPr>
            <w:tcW w:w="1200" w:type="dxa"/>
            <w:tcBorders>
              <w:top w:val="nil"/>
              <w:left w:val="nil"/>
              <w:bottom w:val="dotted" w:sz="4" w:space="0" w:color="BB1823"/>
              <w:right w:val="nil"/>
            </w:tcBorders>
            <w:shd w:val="clear" w:color="auto" w:fill="auto"/>
            <w:vAlign w:val="center"/>
            <w:hideMark/>
          </w:tcPr>
          <w:p w14:paraId="6AFEC090"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72,06</w:t>
            </w:r>
          </w:p>
        </w:tc>
        <w:tc>
          <w:tcPr>
            <w:tcW w:w="1200" w:type="dxa"/>
            <w:tcBorders>
              <w:top w:val="nil"/>
              <w:left w:val="nil"/>
              <w:bottom w:val="dotted" w:sz="4" w:space="0" w:color="BB1823"/>
              <w:right w:val="nil"/>
            </w:tcBorders>
            <w:shd w:val="clear" w:color="auto" w:fill="auto"/>
            <w:vAlign w:val="center"/>
            <w:hideMark/>
          </w:tcPr>
          <w:p w14:paraId="4A2E533E"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81,20</w:t>
            </w:r>
          </w:p>
        </w:tc>
        <w:tc>
          <w:tcPr>
            <w:tcW w:w="1200" w:type="dxa"/>
            <w:tcBorders>
              <w:top w:val="nil"/>
              <w:left w:val="nil"/>
              <w:bottom w:val="dotted" w:sz="4" w:space="0" w:color="BB1823"/>
              <w:right w:val="nil"/>
            </w:tcBorders>
            <w:shd w:val="clear" w:color="auto" w:fill="auto"/>
            <w:vAlign w:val="center"/>
            <w:hideMark/>
          </w:tcPr>
          <w:p w14:paraId="6E3C3FF9"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77,72</w:t>
            </w:r>
          </w:p>
        </w:tc>
      </w:tr>
      <w:tr w:rsidR="00646C38" w:rsidRPr="00646C38" w14:paraId="2277D07C" w14:textId="77777777" w:rsidTr="00991767">
        <w:trPr>
          <w:trHeight w:val="563"/>
          <w:jc w:val="center"/>
        </w:trPr>
        <w:tc>
          <w:tcPr>
            <w:tcW w:w="2476" w:type="dxa"/>
            <w:tcBorders>
              <w:top w:val="nil"/>
              <w:left w:val="nil"/>
              <w:bottom w:val="dotted" w:sz="4" w:space="0" w:color="BB1823"/>
              <w:right w:val="nil"/>
            </w:tcBorders>
            <w:shd w:val="clear" w:color="000000" w:fill="FFFFFF"/>
            <w:vAlign w:val="center"/>
            <w:hideMark/>
          </w:tcPr>
          <w:p w14:paraId="786382A9"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Rotación de Cuentas por Pagar (veces)</w:t>
            </w:r>
          </w:p>
        </w:tc>
        <w:tc>
          <w:tcPr>
            <w:tcW w:w="1200" w:type="dxa"/>
            <w:tcBorders>
              <w:top w:val="nil"/>
              <w:left w:val="nil"/>
              <w:bottom w:val="dotted" w:sz="4" w:space="0" w:color="BB1823"/>
              <w:right w:val="nil"/>
            </w:tcBorders>
            <w:shd w:val="clear" w:color="auto" w:fill="auto"/>
            <w:vAlign w:val="center"/>
            <w:hideMark/>
          </w:tcPr>
          <w:p w14:paraId="1C987D57"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6,63</w:t>
            </w:r>
          </w:p>
        </w:tc>
        <w:tc>
          <w:tcPr>
            <w:tcW w:w="1200" w:type="dxa"/>
            <w:tcBorders>
              <w:top w:val="nil"/>
              <w:left w:val="nil"/>
              <w:bottom w:val="dotted" w:sz="4" w:space="0" w:color="BB1823"/>
              <w:right w:val="nil"/>
            </w:tcBorders>
            <w:shd w:val="clear" w:color="auto" w:fill="auto"/>
            <w:vAlign w:val="center"/>
            <w:hideMark/>
          </w:tcPr>
          <w:p w14:paraId="210D3478"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4,66</w:t>
            </w:r>
          </w:p>
        </w:tc>
        <w:tc>
          <w:tcPr>
            <w:tcW w:w="1200" w:type="dxa"/>
            <w:tcBorders>
              <w:top w:val="nil"/>
              <w:left w:val="nil"/>
              <w:bottom w:val="dotted" w:sz="4" w:space="0" w:color="BB1823"/>
              <w:right w:val="nil"/>
            </w:tcBorders>
            <w:shd w:val="clear" w:color="auto" w:fill="auto"/>
            <w:vAlign w:val="center"/>
            <w:hideMark/>
          </w:tcPr>
          <w:p w14:paraId="12A2AC79"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4,21</w:t>
            </w:r>
          </w:p>
        </w:tc>
        <w:tc>
          <w:tcPr>
            <w:tcW w:w="1200" w:type="dxa"/>
            <w:tcBorders>
              <w:top w:val="nil"/>
              <w:left w:val="nil"/>
              <w:bottom w:val="dotted" w:sz="4" w:space="0" w:color="BB1823"/>
              <w:right w:val="nil"/>
            </w:tcBorders>
            <w:shd w:val="clear" w:color="auto" w:fill="auto"/>
            <w:vAlign w:val="center"/>
            <w:hideMark/>
          </w:tcPr>
          <w:p w14:paraId="05BF5F60"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3,20</w:t>
            </w:r>
          </w:p>
        </w:tc>
        <w:tc>
          <w:tcPr>
            <w:tcW w:w="1200" w:type="dxa"/>
            <w:tcBorders>
              <w:top w:val="nil"/>
              <w:left w:val="nil"/>
              <w:bottom w:val="dotted" w:sz="4" w:space="0" w:color="BB1823"/>
              <w:right w:val="nil"/>
            </w:tcBorders>
            <w:shd w:val="clear" w:color="auto" w:fill="auto"/>
            <w:vAlign w:val="center"/>
            <w:hideMark/>
          </w:tcPr>
          <w:p w14:paraId="19BA88F2"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3,14</w:t>
            </w:r>
          </w:p>
        </w:tc>
        <w:tc>
          <w:tcPr>
            <w:tcW w:w="1200" w:type="dxa"/>
            <w:tcBorders>
              <w:top w:val="nil"/>
              <w:left w:val="nil"/>
              <w:bottom w:val="dotted" w:sz="4" w:space="0" w:color="BB1823"/>
              <w:right w:val="nil"/>
            </w:tcBorders>
            <w:shd w:val="clear" w:color="auto" w:fill="auto"/>
            <w:vAlign w:val="center"/>
            <w:hideMark/>
          </w:tcPr>
          <w:p w14:paraId="24245FB1"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2,72</w:t>
            </w:r>
          </w:p>
        </w:tc>
      </w:tr>
      <w:tr w:rsidR="00646C38" w:rsidRPr="00646C38" w14:paraId="643F7A7B" w14:textId="77777777" w:rsidTr="00991767">
        <w:trPr>
          <w:trHeight w:val="544"/>
          <w:jc w:val="center"/>
        </w:trPr>
        <w:tc>
          <w:tcPr>
            <w:tcW w:w="2476" w:type="dxa"/>
            <w:tcBorders>
              <w:top w:val="nil"/>
              <w:left w:val="nil"/>
              <w:bottom w:val="dotted" w:sz="4" w:space="0" w:color="BB1823"/>
              <w:right w:val="nil"/>
            </w:tcBorders>
            <w:shd w:val="clear" w:color="auto" w:fill="auto"/>
            <w:vAlign w:val="center"/>
            <w:hideMark/>
          </w:tcPr>
          <w:p w14:paraId="6985EDF3"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Promedio Días de Cuentas por Pagar (días)</w:t>
            </w:r>
          </w:p>
        </w:tc>
        <w:tc>
          <w:tcPr>
            <w:tcW w:w="1200" w:type="dxa"/>
            <w:tcBorders>
              <w:top w:val="nil"/>
              <w:left w:val="nil"/>
              <w:bottom w:val="dotted" w:sz="4" w:space="0" w:color="BB1823"/>
              <w:right w:val="nil"/>
            </w:tcBorders>
            <w:shd w:val="clear" w:color="auto" w:fill="auto"/>
            <w:vAlign w:val="center"/>
            <w:hideMark/>
          </w:tcPr>
          <w:p w14:paraId="5206795D"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55,08</w:t>
            </w:r>
          </w:p>
        </w:tc>
        <w:tc>
          <w:tcPr>
            <w:tcW w:w="1200" w:type="dxa"/>
            <w:tcBorders>
              <w:top w:val="nil"/>
              <w:left w:val="nil"/>
              <w:bottom w:val="dotted" w:sz="4" w:space="0" w:color="BB1823"/>
              <w:right w:val="nil"/>
            </w:tcBorders>
            <w:shd w:val="clear" w:color="auto" w:fill="auto"/>
            <w:vAlign w:val="center"/>
            <w:hideMark/>
          </w:tcPr>
          <w:p w14:paraId="5D6AC8D0"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78,40</w:t>
            </w:r>
          </w:p>
        </w:tc>
        <w:tc>
          <w:tcPr>
            <w:tcW w:w="1200" w:type="dxa"/>
            <w:tcBorders>
              <w:top w:val="nil"/>
              <w:left w:val="nil"/>
              <w:bottom w:val="dotted" w:sz="4" w:space="0" w:color="BB1823"/>
              <w:right w:val="nil"/>
            </w:tcBorders>
            <w:shd w:val="clear" w:color="auto" w:fill="auto"/>
            <w:vAlign w:val="center"/>
            <w:hideMark/>
          </w:tcPr>
          <w:p w14:paraId="64A6C035"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86,66</w:t>
            </w:r>
          </w:p>
        </w:tc>
        <w:tc>
          <w:tcPr>
            <w:tcW w:w="1200" w:type="dxa"/>
            <w:tcBorders>
              <w:top w:val="nil"/>
              <w:left w:val="nil"/>
              <w:bottom w:val="dotted" w:sz="4" w:space="0" w:color="BB1823"/>
              <w:right w:val="nil"/>
            </w:tcBorders>
            <w:shd w:val="clear" w:color="auto" w:fill="auto"/>
            <w:vAlign w:val="center"/>
            <w:hideMark/>
          </w:tcPr>
          <w:p w14:paraId="6C2899A0"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114,01</w:t>
            </w:r>
          </w:p>
        </w:tc>
        <w:tc>
          <w:tcPr>
            <w:tcW w:w="1200" w:type="dxa"/>
            <w:tcBorders>
              <w:top w:val="nil"/>
              <w:left w:val="nil"/>
              <w:bottom w:val="dotted" w:sz="4" w:space="0" w:color="BB1823"/>
              <w:right w:val="nil"/>
            </w:tcBorders>
            <w:shd w:val="clear" w:color="auto" w:fill="auto"/>
            <w:vAlign w:val="center"/>
            <w:hideMark/>
          </w:tcPr>
          <w:p w14:paraId="6C9A904D"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116,09</w:t>
            </w:r>
          </w:p>
        </w:tc>
        <w:tc>
          <w:tcPr>
            <w:tcW w:w="1200" w:type="dxa"/>
            <w:tcBorders>
              <w:top w:val="nil"/>
              <w:left w:val="nil"/>
              <w:bottom w:val="dotted" w:sz="4" w:space="0" w:color="BB1823"/>
              <w:right w:val="nil"/>
            </w:tcBorders>
            <w:shd w:val="clear" w:color="auto" w:fill="auto"/>
            <w:vAlign w:val="center"/>
            <w:hideMark/>
          </w:tcPr>
          <w:p w14:paraId="009EB983"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134,02</w:t>
            </w:r>
          </w:p>
        </w:tc>
      </w:tr>
      <w:tr w:rsidR="00646C38" w:rsidRPr="00646C38" w14:paraId="686710E3" w14:textId="77777777" w:rsidTr="007C18CE">
        <w:trPr>
          <w:trHeight w:val="480"/>
          <w:jc w:val="center"/>
        </w:trPr>
        <w:tc>
          <w:tcPr>
            <w:tcW w:w="2476" w:type="dxa"/>
            <w:tcBorders>
              <w:top w:val="nil"/>
              <w:left w:val="nil"/>
              <w:bottom w:val="dotted" w:sz="4" w:space="0" w:color="BB1823"/>
              <w:right w:val="nil"/>
            </w:tcBorders>
            <w:shd w:val="clear" w:color="auto" w:fill="auto"/>
            <w:vAlign w:val="center"/>
            <w:hideMark/>
          </w:tcPr>
          <w:p w14:paraId="724A9ABF"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Diferencia de Días (días)</w:t>
            </w:r>
          </w:p>
        </w:tc>
        <w:tc>
          <w:tcPr>
            <w:tcW w:w="1200" w:type="dxa"/>
            <w:tcBorders>
              <w:top w:val="nil"/>
              <w:left w:val="nil"/>
              <w:bottom w:val="dotted" w:sz="4" w:space="0" w:color="BB1823"/>
              <w:right w:val="nil"/>
            </w:tcBorders>
            <w:shd w:val="clear" w:color="auto" w:fill="auto"/>
            <w:vAlign w:val="center"/>
            <w:hideMark/>
          </w:tcPr>
          <w:p w14:paraId="331F836E"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-29,58</w:t>
            </w:r>
          </w:p>
        </w:tc>
        <w:tc>
          <w:tcPr>
            <w:tcW w:w="1200" w:type="dxa"/>
            <w:tcBorders>
              <w:top w:val="nil"/>
              <w:left w:val="nil"/>
              <w:bottom w:val="dotted" w:sz="4" w:space="0" w:color="BB1823"/>
              <w:right w:val="nil"/>
            </w:tcBorders>
            <w:shd w:val="clear" w:color="auto" w:fill="auto"/>
            <w:vAlign w:val="center"/>
            <w:hideMark/>
          </w:tcPr>
          <w:p w14:paraId="5B01D81E"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-13,66</w:t>
            </w:r>
          </w:p>
        </w:tc>
        <w:tc>
          <w:tcPr>
            <w:tcW w:w="1200" w:type="dxa"/>
            <w:tcBorders>
              <w:top w:val="nil"/>
              <w:left w:val="nil"/>
              <w:bottom w:val="dotted" w:sz="4" w:space="0" w:color="BB1823"/>
              <w:right w:val="nil"/>
            </w:tcBorders>
            <w:shd w:val="clear" w:color="auto" w:fill="auto"/>
            <w:vAlign w:val="center"/>
            <w:hideMark/>
          </w:tcPr>
          <w:p w14:paraId="70CCE9D6"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12,68</w:t>
            </w:r>
          </w:p>
        </w:tc>
        <w:tc>
          <w:tcPr>
            <w:tcW w:w="1200" w:type="dxa"/>
            <w:tcBorders>
              <w:top w:val="nil"/>
              <w:left w:val="nil"/>
              <w:bottom w:val="dotted" w:sz="4" w:space="0" w:color="BB1823"/>
              <w:right w:val="nil"/>
            </w:tcBorders>
            <w:shd w:val="clear" w:color="auto" w:fill="auto"/>
            <w:vAlign w:val="center"/>
            <w:hideMark/>
          </w:tcPr>
          <w:p w14:paraId="0033A903"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41,95</w:t>
            </w:r>
          </w:p>
        </w:tc>
        <w:tc>
          <w:tcPr>
            <w:tcW w:w="1200" w:type="dxa"/>
            <w:tcBorders>
              <w:top w:val="nil"/>
              <w:left w:val="nil"/>
              <w:bottom w:val="dotted" w:sz="4" w:space="0" w:color="BB1823"/>
              <w:right w:val="nil"/>
            </w:tcBorders>
            <w:shd w:val="clear" w:color="auto" w:fill="auto"/>
            <w:vAlign w:val="center"/>
            <w:hideMark/>
          </w:tcPr>
          <w:p w14:paraId="58E78BB7"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34,89</w:t>
            </w:r>
          </w:p>
        </w:tc>
        <w:tc>
          <w:tcPr>
            <w:tcW w:w="1200" w:type="dxa"/>
            <w:tcBorders>
              <w:top w:val="nil"/>
              <w:left w:val="nil"/>
              <w:bottom w:val="dotted" w:sz="4" w:space="0" w:color="BB1823"/>
              <w:right w:val="nil"/>
            </w:tcBorders>
            <w:shd w:val="clear" w:color="auto" w:fill="auto"/>
            <w:vAlign w:val="center"/>
            <w:hideMark/>
          </w:tcPr>
          <w:p w14:paraId="45E7CB17"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56,30</w:t>
            </w:r>
          </w:p>
        </w:tc>
      </w:tr>
      <w:tr w:rsidR="00646C38" w:rsidRPr="00646C38" w14:paraId="27D6D178" w14:textId="77777777" w:rsidTr="00991767">
        <w:trPr>
          <w:trHeight w:val="501"/>
          <w:jc w:val="center"/>
        </w:trPr>
        <w:tc>
          <w:tcPr>
            <w:tcW w:w="2476" w:type="dxa"/>
            <w:tcBorders>
              <w:top w:val="nil"/>
              <w:left w:val="nil"/>
              <w:bottom w:val="dotted" w:sz="4" w:space="0" w:color="BB1823"/>
              <w:right w:val="nil"/>
            </w:tcBorders>
            <w:shd w:val="clear" w:color="auto" w:fill="auto"/>
            <w:vAlign w:val="center"/>
            <w:hideMark/>
          </w:tcPr>
          <w:p w14:paraId="54FFC502" w14:textId="77777777" w:rsidR="00646C38" w:rsidRPr="00646C38" w:rsidRDefault="00646C38" w:rsidP="00646C38">
            <w:pPr>
              <w:rPr>
                <w:rFonts w:eastAsia="Times New Roman" w:cs="Calibri"/>
                <w:color w:val="333D6B"/>
                <w:sz w:val="18"/>
                <w:szCs w:val="18"/>
                <w:lang w:eastAsia="es-CL"/>
              </w:rPr>
            </w:pPr>
            <w:r w:rsidRPr="00646C38">
              <w:rPr>
                <w:rFonts w:eastAsia="Times New Roman" w:cs="Calibri"/>
                <w:color w:val="333D6B"/>
                <w:sz w:val="18"/>
                <w:szCs w:val="18"/>
                <w:lang w:eastAsia="es-CL"/>
              </w:rPr>
              <w:t>Ciclo Económico (días)</w:t>
            </w:r>
          </w:p>
        </w:tc>
        <w:tc>
          <w:tcPr>
            <w:tcW w:w="1200" w:type="dxa"/>
            <w:tcBorders>
              <w:top w:val="nil"/>
              <w:left w:val="nil"/>
              <w:bottom w:val="dotted" w:sz="4" w:space="0" w:color="BB1823"/>
              <w:right w:val="nil"/>
            </w:tcBorders>
            <w:shd w:val="clear" w:color="auto" w:fill="auto"/>
            <w:vAlign w:val="center"/>
            <w:hideMark/>
          </w:tcPr>
          <w:p w14:paraId="7335B0D2"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-254,36</w:t>
            </w:r>
          </w:p>
        </w:tc>
        <w:tc>
          <w:tcPr>
            <w:tcW w:w="1200" w:type="dxa"/>
            <w:tcBorders>
              <w:top w:val="nil"/>
              <w:left w:val="nil"/>
              <w:bottom w:val="dotted" w:sz="4" w:space="0" w:color="BB1823"/>
              <w:right w:val="nil"/>
            </w:tcBorders>
            <w:shd w:val="clear" w:color="auto" w:fill="auto"/>
            <w:vAlign w:val="center"/>
            <w:hideMark/>
          </w:tcPr>
          <w:p w14:paraId="6DCD52FC"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-257,62</w:t>
            </w:r>
          </w:p>
        </w:tc>
        <w:tc>
          <w:tcPr>
            <w:tcW w:w="1200" w:type="dxa"/>
            <w:tcBorders>
              <w:top w:val="nil"/>
              <w:left w:val="nil"/>
              <w:bottom w:val="dotted" w:sz="4" w:space="0" w:color="BB1823"/>
              <w:right w:val="nil"/>
            </w:tcBorders>
            <w:shd w:val="clear" w:color="auto" w:fill="auto"/>
            <w:vAlign w:val="center"/>
            <w:hideMark/>
          </w:tcPr>
          <w:p w14:paraId="78F5808F"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-234,10</w:t>
            </w:r>
          </w:p>
        </w:tc>
        <w:tc>
          <w:tcPr>
            <w:tcW w:w="1200" w:type="dxa"/>
            <w:tcBorders>
              <w:top w:val="nil"/>
              <w:left w:val="nil"/>
              <w:bottom w:val="dotted" w:sz="4" w:space="0" w:color="BB1823"/>
              <w:right w:val="nil"/>
            </w:tcBorders>
            <w:shd w:val="clear" w:color="auto" w:fill="auto"/>
            <w:vAlign w:val="center"/>
            <w:hideMark/>
          </w:tcPr>
          <w:p w14:paraId="7D51E741"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-211,14</w:t>
            </w:r>
          </w:p>
        </w:tc>
        <w:tc>
          <w:tcPr>
            <w:tcW w:w="1200" w:type="dxa"/>
            <w:tcBorders>
              <w:top w:val="nil"/>
              <w:left w:val="nil"/>
              <w:bottom w:val="dotted" w:sz="4" w:space="0" w:color="BB1823"/>
              <w:right w:val="nil"/>
            </w:tcBorders>
            <w:shd w:val="clear" w:color="auto" w:fill="auto"/>
            <w:vAlign w:val="center"/>
            <w:hideMark/>
          </w:tcPr>
          <w:p w14:paraId="4A21ABD0"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-221,11</w:t>
            </w:r>
          </w:p>
        </w:tc>
        <w:tc>
          <w:tcPr>
            <w:tcW w:w="1200" w:type="dxa"/>
            <w:tcBorders>
              <w:top w:val="nil"/>
              <w:left w:val="nil"/>
              <w:bottom w:val="dotted" w:sz="4" w:space="0" w:color="BB1823"/>
              <w:right w:val="nil"/>
            </w:tcBorders>
            <w:shd w:val="clear" w:color="auto" w:fill="auto"/>
            <w:vAlign w:val="center"/>
            <w:hideMark/>
          </w:tcPr>
          <w:p w14:paraId="08C92681" w14:textId="77777777" w:rsidR="00646C38" w:rsidRPr="00646C38" w:rsidRDefault="00646C38" w:rsidP="00646C38">
            <w:pPr>
              <w:jc w:val="center"/>
              <w:rPr>
                <w:rFonts w:eastAsia="Times New Roman" w:cs="Calibri"/>
                <w:color w:val="333D6B"/>
                <w:sz w:val="18"/>
                <w:szCs w:val="18"/>
                <w:lang w:eastAsia="es-CL"/>
              </w:rPr>
            </w:pPr>
            <w:r w:rsidRPr="00646C38">
              <w:rPr>
                <w:rFonts w:eastAsia="Times New Roman" w:cs="Calibri"/>
                <w:color w:val="333D6B"/>
                <w:sz w:val="18"/>
                <w:szCs w:val="18"/>
                <w:lang w:eastAsia="es-CL"/>
              </w:rPr>
              <w:t>-182,76</w:t>
            </w:r>
          </w:p>
        </w:tc>
      </w:tr>
    </w:tbl>
    <w:p w14:paraId="0F492271" w14:textId="77777777" w:rsidR="002D5793" w:rsidRDefault="002D5793" w:rsidP="00F976A9">
      <w:pPr>
        <w:tabs>
          <w:tab w:val="right" w:pos="7489"/>
          <w:tab w:val="left" w:pos="11160"/>
        </w:tabs>
        <w:spacing w:line="360" w:lineRule="auto"/>
        <w:jc w:val="both"/>
        <w:rPr>
          <w:rFonts w:ascii="Verdana" w:eastAsia="Times New Roman" w:hAnsi="Verdana" w:cs="Times New Roman"/>
          <w:b/>
          <w:color w:val="999999"/>
          <w:sz w:val="19"/>
          <w:szCs w:val="19"/>
          <w:lang w:eastAsia="es-ES"/>
        </w:rPr>
      </w:pPr>
    </w:p>
    <w:tbl>
      <w:tblPr>
        <w:tblW w:w="9818" w:type="dxa"/>
        <w:jc w:val="center"/>
        <w:tblCellMar>
          <w:left w:w="70" w:type="dxa"/>
          <w:right w:w="70" w:type="dxa"/>
        </w:tblCellMar>
        <w:tblLook w:val="04A0" w:firstRow="1" w:lastRow="0" w:firstColumn="1" w:lastColumn="0" w:noHBand="0" w:noVBand="1"/>
      </w:tblPr>
      <w:tblGrid>
        <w:gridCol w:w="2843"/>
        <w:gridCol w:w="1161"/>
        <w:gridCol w:w="1162"/>
        <w:gridCol w:w="1163"/>
        <w:gridCol w:w="1163"/>
        <w:gridCol w:w="1163"/>
        <w:gridCol w:w="1163"/>
      </w:tblGrid>
      <w:tr w:rsidR="0082574E" w:rsidRPr="0082574E" w14:paraId="2CBABA07" w14:textId="77777777" w:rsidTr="007604E9">
        <w:trPr>
          <w:trHeight w:val="720"/>
          <w:jc w:val="center"/>
        </w:trPr>
        <w:tc>
          <w:tcPr>
            <w:tcW w:w="2843" w:type="dxa"/>
            <w:tcBorders>
              <w:top w:val="nil"/>
              <w:left w:val="nil"/>
              <w:bottom w:val="nil"/>
              <w:right w:val="nil"/>
            </w:tcBorders>
            <w:shd w:val="clear" w:color="000000" w:fill="BB1823"/>
            <w:vAlign w:val="center"/>
            <w:hideMark/>
          </w:tcPr>
          <w:p w14:paraId="568E5E61" w14:textId="77777777" w:rsidR="0082574E" w:rsidRPr="0082574E" w:rsidRDefault="0082574E" w:rsidP="0082574E">
            <w:pPr>
              <w:rPr>
                <w:rFonts w:eastAsia="Times New Roman" w:cs="Calibri"/>
                <w:b/>
                <w:bCs/>
                <w:color w:val="FFFFFF"/>
                <w:sz w:val="18"/>
                <w:szCs w:val="18"/>
                <w:lang w:eastAsia="es-CL"/>
              </w:rPr>
            </w:pPr>
            <w:r w:rsidRPr="0082574E">
              <w:rPr>
                <w:rFonts w:eastAsia="Times New Roman" w:cs="Calibri"/>
                <w:b/>
                <w:bCs/>
                <w:color w:val="FFFFFF"/>
                <w:sz w:val="18"/>
                <w:szCs w:val="18"/>
                <w:lang w:eastAsia="es-CL"/>
              </w:rPr>
              <w:t>Ratios de endeudamiento</w:t>
            </w:r>
          </w:p>
        </w:tc>
        <w:tc>
          <w:tcPr>
            <w:tcW w:w="1161" w:type="dxa"/>
            <w:tcBorders>
              <w:top w:val="nil"/>
              <w:left w:val="nil"/>
              <w:bottom w:val="nil"/>
              <w:right w:val="nil"/>
            </w:tcBorders>
            <w:shd w:val="clear" w:color="000000" w:fill="BB1823"/>
            <w:vAlign w:val="center"/>
            <w:hideMark/>
          </w:tcPr>
          <w:p w14:paraId="2EC79FDB" w14:textId="77777777" w:rsidR="0082574E" w:rsidRPr="0082574E" w:rsidRDefault="0082574E" w:rsidP="0082574E">
            <w:pPr>
              <w:jc w:val="center"/>
              <w:rPr>
                <w:rFonts w:eastAsia="Times New Roman" w:cs="Calibri"/>
                <w:b/>
                <w:bCs/>
                <w:color w:val="FFFFFF"/>
                <w:sz w:val="18"/>
                <w:szCs w:val="18"/>
                <w:lang w:eastAsia="es-CL"/>
              </w:rPr>
            </w:pPr>
            <w:r w:rsidRPr="0082574E">
              <w:rPr>
                <w:rFonts w:eastAsia="Times New Roman" w:cs="Calibri"/>
                <w:b/>
                <w:bCs/>
                <w:color w:val="FFFFFF"/>
                <w:sz w:val="18"/>
                <w:szCs w:val="18"/>
                <w:lang w:eastAsia="es-CL"/>
              </w:rPr>
              <w:t>2016</w:t>
            </w:r>
          </w:p>
        </w:tc>
        <w:tc>
          <w:tcPr>
            <w:tcW w:w="1162" w:type="dxa"/>
            <w:tcBorders>
              <w:top w:val="nil"/>
              <w:left w:val="nil"/>
              <w:bottom w:val="nil"/>
              <w:right w:val="nil"/>
            </w:tcBorders>
            <w:shd w:val="clear" w:color="000000" w:fill="BB1823"/>
            <w:vAlign w:val="center"/>
            <w:hideMark/>
          </w:tcPr>
          <w:p w14:paraId="3B4C6E9F" w14:textId="77777777" w:rsidR="0082574E" w:rsidRPr="0082574E" w:rsidRDefault="0082574E" w:rsidP="0082574E">
            <w:pPr>
              <w:jc w:val="center"/>
              <w:rPr>
                <w:rFonts w:eastAsia="Times New Roman" w:cs="Calibri"/>
                <w:b/>
                <w:bCs/>
                <w:color w:val="FFFFFF"/>
                <w:sz w:val="18"/>
                <w:szCs w:val="18"/>
                <w:lang w:eastAsia="es-CL"/>
              </w:rPr>
            </w:pPr>
            <w:r w:rsidRPr="0082574E">
              <w:rPr>
                <w:rFonts w:eastAsia="Times New Roman" w:cs="Calibri"/>
                <w:b/>
                <w:bCs/>
                <w:color w:val="FFFFFF"/>
                <w:sz w:val="18"/>
                <w:szCs w:val="18"/>
                <w:lang w:eastAsia="es-CL"/>
              </w:rPr>
              <w:t>2017</w:t>
            </w:r>
          </w:p>
        </w:tc>
        <w:tc>
          <w:tcPr>
            <w:tcW w:w="1163" w:type="dxa"/>
            <w:tcBorders>
              <w:top w:val="nil"/>
              <w:left w:val="nil"/>
              <w:bottom w:val="nil"/>
              <w:right w:val="nil"/>
            </w:tcBorders>
            <w:shd w:val="clear" w:color="000000" w:fill="BB1823"/>
            <w:vAlign w:val="center"/>
            <w:hideMark/>
          </w:tcPr>
          <w:p w14:paraId="7E3CB056" w14:textId="77777777" w:rsidR="0082574E" w:rsidRPr="0082574E" w:rsidRDefault="0082574E" w:rsidP="0082574E">
            <w:pPr>
              <w:jc w:val="center"/>
              <w:rPr>
                <w:rFonts w:eastAsia="Times New Roman" w:cs="Calibri"/>
                <w:b/>
                <w:bCs/>
                <w:color w:val="FFFFFF"/>
                <w:sz w:val="18"/>
                <w:szCs w:val="18"/>
                <w:lang w:eastAsia="es-CL"/>
              </w:rPr>
            </w:pPr>
            <w:r w:rsidRPr="0082574E">
              <w:rPr>
                <w:rFonts w:eastAsia="Times New Roman" w:cs="Calibri"/>
                <w:b/>
                <w:bCs/>
                <w:color w:val="FFFFFF"/>
                <w:sz w:val="18"/>
                <w:szCs w:val="18"/>
                <w:lang w:eastAsia="es-CL"/>
              </w:rPr>
              <w:t>2018</w:t>
            </w:r>
          </w:p>
        </w:tc>
        <w:tc>
          <w:tcPr>
            <w:tcW w:w="1163" w:type="dxa"/>
            <w:tcBorders>
              <w:top w:val="nil"/>
              <w:left w:val="nil"/>
              <w:bottom w:val="nil"/>
              <w:right w:val="nil"/>
            </w:tcBorders>
            <w:shd w:val="clear" w:color="000000" w:fill="BB1823"/>
            <w:vAlign w:val="center"/>
            <w:hideMark/>
          </w:tcPr>
          <w:p w14:paraId="7945C6A1" w14:textId="77777777" w:rsidR="0082574E" w:rsidRPr="0082574E" w:rsidRDefault="0082574E" w:rsidP="0082574E">
            <w:pPr>
              <w:jc w:val="center"/>
              <w:rPr>
                <w:rFonts w:eastAsia="Times New Roman" w:cs="Calibri"/>
                <w:b/>
                <w:bCs/>
                <w:color w:val="FFFFFF"/>
                <w:sz w:val="18"/>
                <w:szCs w:val="18"/>
                <w:lang w:eastAsia="es-CL"/>
              </w:rPr>
            </w:pPr>
            <w:r w:rsidRPr="0082574E">
              <w:rPr>
                <w:rFonts w:eastAsia="Times New Roman" w:cs="Calibri"/>
                <w:b/>
                <w:bCs/>
                <w:color w:val="FFFFFF"/>
                <w:sz w:val="18"/>
                <w:szCs w:val="18"/>
                <w:lang w:eastAsia="es-CL"/>
              </w:rPr>
              <w:t>2019</w:t>
            </w:r>
          </w:p>
        </w:tc>
        <w:tc>
          <w:tcPr>
            <w:tcW w:w="1163" w:type="dxa"/>
            <w:tcBorders>
              <w:top w:val="nil"/>
              <w:left w:val="nil"/>
              <w:bottom w:val="nil"/>
              <w:right w:val="nil"/>
            </w:tcBorders>
            <w:shd w:val="clear" w:color="000000" w:fill="BB1823"/>
            <w:vAlign w:val="center"/>
            <w:hideMark/>
          </w:tcPr>
          <w:p w14:paraId="04E20434" w14:textId="77777777" w:rsidR="0082574E" w:rsidRPr="0082574E" w:rsidRDefault="0082574E" w:rsidP="0082574E">
            <w:pPr>
              <w:jc w:val="center"/>
              <w:rPr>
                <w:rFonts w:eastAsia="Times New Roman" w:cs="Calibri"/>
                <w:b/>
                <w:bCs/>
                <w:color w:val="FFFFFF"/>
                <w:sz w:val="18"/>
                <w:szCs w:val="18"/>
                <w:lang w:eastAsia="es-CL"/>
              </w:rPr>
            </w:pPr>
            <w:r w:rsidRPr="0082574E">
              <w:rPr>
                <w:rFonts w:eastAsia="Times New Roman" w:cs="Calibri"/>
                <w:b/>
                <w:bCs/>
                <w:color w:val="FFFFFF"/>
                <w:sz w:val="18"/>
                <w:szCs w:val="18"/>
                <w:lang w:eastAsia="es-CL"/>
              </w:rPr>
              <w:t>2020</w:t>
            </w:r>
          </w:p>
        </w:tc>
        <w:tc>
          <w:tcPr>
            <w:tcW w:w="1163" w:type="dxa"/>
            <w:tcBorders>
              <w:top w:val="nil"/>
              <w:left w:val="nil"/>
              <w:bottom w:val="nil"/>
              <w:right w:val="nil"/>
            </w:tcBorders>
            <w:shd w:val="clear" w:color="000000" w:fill="BB1823"/>
            <w:vAlign w:val="center"/>
            <w:hideMark/>
          </w:tcPr>
          <w:p w14:paraId="6DC80027" w14:textId="77777777" w:rsidR="0082574E" w:rsidRPr="0082574E" w:rsidRDefault="0082574E" w:rsidP="0082574E">
            <w:pPr>
              <w:jc w:val="center"/>
              <w:rPr>
                <w:rFonts w:eastAsia="Times New Roman" w:cs="Calibri"/>
                <w:b/>
                <w:bCs/>
                <w:color w:val="FFFFFF"/>
                <w:sz w:val="18"/>
                <w:szCs w:val="18"/>
                <w:lang w:eastAsia="es-CL"/>
              </w:rPr>
            </w:pPr>
            <w:r w:rsidRPr="0082574E">
              <w:rPr>
                <w:rFonts w:eastAsia="Times New Roman" w:cs="Calibri"/>
                <w:b/>
                <w:bCs/>
                <w:color w:val="FFFFFF"/>
                <w:sz w:val="18"/>
                <w:szCs w:val="18"/>
                <w:lang w:eastAsia="es-CL"/>
              </w:rPr>
              <w:t>jun-21</w:t>
            </w:r>
          </w:p>
        </w:tc>
      </w:tr>
      <w:tr w:rsidR="0082574E" w:rsidRPr="0082574E" w14:paraId="699237C9" w14:textId="77777777" w:rsidTr="007604E9">
        <w:trPr>
          <w:trHeight w:val="480"/>
          <w:jc w:val="center"/>
        </w:trPr>
        <w:tc>
          <w:tcPr>
            <w:tcW w:w="2843" w:type="dxa"/>
            <w:tcBorders>
              <w:top w:val="nil"/>
              <w:left w:val="nil"/>
              <w:bottom w:val="dotted" w:sz="4" w:space="0" w:color="BB1823"/>
              <w:right w:val="nil"/>
            </w:tcBorders>
            <w:shd w:val="clear" w:color="000000" w:fill="FFFFFF"/>
            <w:vAlign w:val="center"/>
            <w:hideMark/>
          </w:tcPr>
          <w:p w14:paraId="127F5AB7" w14:textId="77777777" w:rsidR="0082574E" w:rsidRPr="0082574E" w:rsidRDefault="0082574E" w:rsidP="0082574E">
            <w:pPr>
              <w:rPr>
                <w:rFonts w:eastAsia="Times New Roman" w:cs="Calibri"/>
                <w:color w:val="333B68"/>
                <w:sz w:val="18"/>
                <w:szCs w:val="18"/>
                <w:lang w:eastAsia="es-CL"/>
              </w:rPr>
            </w:pPr>
            <w:r w:rsidRPr="0082574E">
              <w:rPr>
                <w:rFonts w:eastAsia="Times New Roman" w:cs="Calibri"/>
                <w:color w:val="333B68"/>
                <w:sz w:val="18"/>
                <w:szCs w:val="18"/>
                <w:lang w:eastAsia="es-CL"/>
              </w:rPr>
              <w:t>Endeudamiento (veces)</w:t>
            </w:r>
          </w:p>
        </w:tc>
        <w:tc>
          <w:tcPr>
            <w:tcW w:w="1161" w:type="dxa"/>
            <w:tcBorders>
              <w:top w:val="nil"/>
              <w:left w:val="nil"/>
              <w:bottom w:val="dotted" w:sz="4" w:space="0" w:color="BB1823"/>
              <w:right w:val="nil"/>
            </w:tcBorders>
            <w:shd w:val="clear" w:color="000000" w:fill="FFFFFF"/>
            <w:vAlign w:val="center"/>
            <w:hideMark/>
          </w:tcPr>
          <w:p w14:paraId="3AC7CC7D"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0,62</w:t>
            </w:r>
          </w:p>
        </w:tc>
        <w:tc>
          <w:tcPr>
            <w:tcW w:w="1162" w:type="dxa"/>
            <w:tcBorders>
              <w:top w:val="nil"/>
              <w:left w:val="nil"/>
              <w:bottom w:val="dotted" w:sz="4" w:space="0" w:color="BB1823"/>
              <w:right w:val="nil"/>
            </w:tcBorders>
            <w:shd w:val="clear" w:color="000000" w:fill="FFFFFF"/>
            <w:vAlign w:val="center"/>
            <w:hideMark/>
          </w:tcPr>
          <w:p w14:paraId="1DFC9F1E"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0,63</w:t>
            </w:r>
          </w:p>
        </w:tc>
        <w:tc>
          <w:tcPr>
            <w:tcW w:w="1163" w:type="dxa"/>
            <w:tcBorders>
              <w:top w:val="nil"/>
              <w:left w:val="nil"/>
              <w:bottom w:val="dotted" w:sz="4" w:space="0" w:color="BB1823"/>
              <w:right w:val="nil"/>
            </w:tcBorders>
            <w:shd w:val="clear" w:color="000000" w:fill="FFFFFF"/>
            <w:vAlign w:val="center"/>
            <w:hideMark/>
          </w:tcPr>
          <w:p w14:paraId="7F711537"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0,63</w:t>
            </w:r>
          </w:p>
        </w:tc>
        <w:tc>
          <w:tcPr>
            <w:tcW w:w="1163" w:type="dxa"/>
            <w:tcBorders>
              <w:top w:val="nil"/>
              <w:left w:val="nil"/>
              <w:bottom w:val="dotted" w:sz="4" w:space="0" w:color="BB1823"/>
              <w:right w:val="nil"/>
            </w:tcBorders>
            <w:shd w:val="clear" w:color="000000" w:fill="FFFFFF"/>
            <w:vAlign w:val="center"/>
            <w:hideMark/>
          </w:tcPr>
          <w:p w14:paraId="3047DE96"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0,80</w:t>
            </w:r>
          </w:p>
        </w:tc>
        <w:tc>
          <w:tcPr>
            <w:tcW w:w="1163" w:type="dxa"/>
            <w:tcBorders>
              <w:top w:val="nil"/>
              <w:left w:val="nil"/>
              <w:bottom w:val="dotted" w:sz="4" w:space="0" w:color="BB1823"/>
              <w:right w:val="nil"/>
            </w:tcBorders>
            <w:shd w:val="clear" w:color="000000" w:fill="FFFFFF"/>
            <w:vAlign w:val="center"/>
            <w:hideMark/>
          </w:tcPr>
          <w:p w14:paraId="5032E0DB"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0,81</w:t>
            </w:r>
          </w:p>
        </w:tc>
        <w:tc>
          <w:tcPr>
            <w:tcW w:w="1163" w:type="dxa"/>
            <w:tcBorders>
              <w:top w:val="nil"/>
              <w:left w:val="nil"/>
              <w:bottom w:val="dotted" w:sz="4" w:space="0" w:color="BB1823"/>
              <w:right w:val="nil"/>
            </w:tcBorders>
            <w:shd w:val="clear" w:color="000000" w:fill="FFFFFF"/>
            <w:vAlign w:val="center"/>
            <w:hideMark/>
          </w:tcPr>
          <w:p w14:paraId="4AE90C85"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0,80</w:t>
            </w:r>
          </w:p>
        </w:tc>
      </w:tr>
      <w:tr w:rsidR="0082574E" w:rsidRPr="0082574E" w14:paraId="7A70709C" w14:textId="77777777" w:rsidTr="00991767">
        <w:trPr>
          <w:trHeight w:val="559"/>
          <w:jc w:val="center"/>
        </w:trPr>
        <w:tc>
          <w:tcPr>
            <w:tcW w:w="2843" w:type="dxa"/>
            <w:tcBorders>
              <w:top w:val="nil"/>
              <w:left w:val="nil"/>
              <w:bottom w:val="dotted" w:sz="4" w:space="0" w:color="BB1823"/>
              <w:right w:val="nil"/>
            </w:tcBorders>
            <w:shd w:val="clear" w:color="000000" w:fill="FFFFFF"/>
            <w:vAlign w:val="center"/>
            <w:hideMark/>
          </w:tcPr>
          <w:p w14:paraId="29730252" w14:textId="77777777" w:rsidR="0082574E" w:rsidRPr="0082574E" w:rsidRDefault="0082574E" w:rsidP="0082574E">
            <w:pPr>
              <w:rPr>
                <w:rFonts w:eastAsia="Times New Roman" w:cs="Calibri"/>
                <w:color w:val="333B68"/>
                <w:sz w:val="18"/>
                <w:szCs w:val="18"/>
                <w:lang w:eastAsia="es-CL"/>
              </w:rPr>
            </w:pPr>
            <w:r w:rsidRPr="0082574E">
              <w:rPr>
                <w:rFonts w:eastAsia="Times New Roman" w:cs="Calibri"/>
                <w:color w:val="333B68"/>
                <w:sz w:val="18"/>
                <w:szCs w:val="18"/>
                <w:lang w:eastAsia="es-CL"/>
              </w:rPr>
              <w:t>Pasivo Exigible sobre Patrimonio (veces)</w:t>
            </w:r>
          </w:p>
        </w:tc>
        <w:tc>
          <w:tcPr>
            <w:tcW w:w="1161" w:type="dxa"/>
            <w:tcBorders>
              <w:top w:val="nil"/>
              <w:left w:val="nil"/>
              <w:bottom w:val="dotted" w:sz="4" w:space="0" w:color="BB1823"/>
              <w:right w:val="nil"/>
            </w:tcBorders>
            <w:shd w:val="clear" w:color="000000" w:fill="FFFFFF"/>
            <w:vAlign w:val="center"/>
            <w:hideMark/>
          </w:tcPr>
          <w:p w14:paraId="3C2CD7A2"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1,66</w:t>
            </w:r>
          </w:p>
        </w:tc>
        <w:tc>
          <w:tcPr>
            <w:tcW w:w="1162" w:type="dxa"/>
            <w:tcBorders>
              <w:top w:val="nil"/>
              <w:left w:val="nil"/>
              <w:bottom w:val="dotted" w:sz="4" w:space="0" w:color="BB1823"/>
              <w:right w:val="nil"/>
            </w:tcBorders>
            <w:shd w:val="clear" w:color="000000" w:fill="FFFFFF"/>
            <w:vAlign w:val="center"/>
            <w:hideMark/>
          </w:tcPr>
          <w:p w14:paraId="1F594582"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1,67</w:t>
            </w:r>
          </w:p>
        </w:tc>
        <w:tc>
          <w:tcPr>
            <w:tcW w:w="1163" w:type="dxa"/>
            <w:tcBorders>
              <w:top w:val="nil"/>
              <w:left w:val="nil"/>
              <w:bottom w:val="dotted" w:sz="4" w:space="0" w:color="BB1823"/>
              <w:right w:val="nil"/>
            </w:tcBorders>
            <w:shd w:val="clear" w:color="000000" w:fill="FFFFFF"/>
            <w:vAlign w:val="center"/>
            <w:hideMark/>
          </w:tcPr>
          <w:p w14:paraId="3ECC5608"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1,74</w:t>
            </w:r>
          </w:p>
        </w:tc>
        <w:tc>
          <w:tcPr>
            <w:tcW w:w="1163" w:type="dxa"/>
            <w:tcBorders>
              <w:top w:val="nil"/>
              <w:left w:val="nil"/>
              <w:bottom w:val="dotted" w:sz="4" w:space="0" w:color="BB1823"/>
              <w:right w:val="nil"/>
            </w:tcBorders>
            <w:shd w:val="clear" w:color="000000" w:fill="FFFFFF"/>
            <w:vAlign w:val="center"/>
            <w:hideMark/>
          </w:tcPr>
          <w:p w14:paraId="400D4786"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3,91</w:t>
            </w:r>
          </w:p>
        </w:tc>
        <w:tc>
          <w:tcPr>
            <w:tcW w:w="1163" w:type="dxa"/>
            <w:tcBorders>
              <w:top w:val="nil"/>
              <w:left w:val="nil"/>
              <w:bottom w:val="dotted" w:sz="4" w:space="0" w:color="BB1823"/>
              <w:right w:val="nil"/>
            </w:tcBorders>
            <w:shd w:val="clear" w:color="000000" w:fill="FFFFFF"/>
            <w:vAlign w:val="center"/>
            <w:hideMark/>
          </w:tcPr>
          <w:p w14:paraId="587DB89E"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4,13</w:t>
            </w:r>
          </w:p>
        </w:tc>
        <w:tc>
          <w:tcPr>
            <w:tcW w:w="1163" w:type="dxa"/>
            <w:tcBorders>
              <w:top w:val="nil"/>
              <w:left w:val="nil"/>
              <w:bottom w:val="dotted" w:sz="4" w:space="0" w:color="BB1823"/>
              <w:right w:val="nil"/>
            </w:tcBorders>
            <w:shd w:val="clear" w:color="000000" w:fill="FFFFFF"/>
            <w:vAlign w:val="center"/>
            <w:hideMark/>
          </w:tcPr>
          <w:p w14:paraId="6A20768A"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3,88</w:t>
            </w:r>
          </w:p>
        </w:tc>
      </w:tr>
      <w:tr w:rsidR="0082574E" w:rsidRPr="0082574E" w14:paraId="62E0552F" w14:textId="77777777" w:rsidTr="00991767">
        <w:trPr>
          <w:trHeight w:val="553"/>
          <w:jc w:val="center"/>
        </w:trPr>
        <w:tc>
          <w:tcPr>
            <w:tcW w:w="2843" w:type="dxa"/>
            <w:tcBorders>
              <w:top w:val="nil"/>
              <w:left w:val="nil"/>
              <w:bottom w:val="dotted" w:sz="4" w:space="0" w:color="BB1823"/>
              <w:right w:val="nil"/>
            </w:tcBorders>
            <w:shd w:val="clear" w:color="000000" w:fill="FFFFFF"/>
            <w:vAlign w:val="center"/>
            <w:hideMark/>
          </w:tcPr>
          <w:p w14:paraId="469D00C4" w14:textId="77777777" w:rsidR="0082574E" w:rsidRPr="0082574E" w:rsidRDefault="0082574E" w:rsidP="0082574E">
            <w:pPr>
              <w:rPr>
                <w:rFonts w:eastAsia="Times New Roman" w:cs="Calibri"/>
                <w:color w:val="333B68"/>
                <w:sz w:val="18"/>
                <w:szCs w:val="18"/>
                <w:lang w:eastAsia="es-CL"/>
              </w:rPr>
            </w:pPr>
            <w:r w:rsidRPr="0082574E">
              <w:rPr>
                <w:rFonts w:eastAsia="Times New Roman" w:cs="Calibri"/>
                <w:color w:val="333B68"/>
                <w:sz w:val="18"/>
                <w:szCs w:val="18"/>
                <w:lang w:eastAsia="es-CL"/>
              </w:rPr>
              <w:t>Pasivo Corto Plazo a Largo Plazo (veces)</w:t>
            </w:r>
          </w:p>
        </w:tc>
        <w:tc>
          <w:tcPr>
            <w:tcW w:w="1161" w:type="dxa"/>
            <w:tcBorders>
              <w:top w:val="nil"/>
              <w:left w:val="nil"/>
              <w:bottom w:val="dotted" w:sz="4" w:space="0" w:color="BB1823"/>
              <w:right w:val="nil"/>
            </w:tcBorders>
            <w:shd w:val="clear" w:color="000000" w:fill="FFFFFF"/>
            <w:vAlign w:val="center"/>
            <w:hideMark/>
          </w:tcPr>
          <w:p w14:paraId="10332EDB"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13,00</w:t>
            </w:r>
          </w:p>
        </w:tc>
        <w:tc>
          <w:tcPr>
            <w:tcW w:w="1162" w:type="dxa"/>
            <w:tcBorders>
              <w:top w:val="nil"/>
              <w:left w:val="nil"/>
              <w:bottom w:val="dotted" w:sz="4" w:space="0" w:color="BB1823"/>
              <w:right w:val="nil"/>
            </w:tcBorders>
            <w:shd w:val="clear" w:color="000000" w:fill="FFFFFF"/>
            <w:vAlign w:val="center"/>
            <w:hideMark/>
          </w:tcPr>
          <w:p w14:paraId="16993E42"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27,10</w:t>
            </w:r>
          </w:p>
        </w:tc>
        <w:tc>
          <w:tcPr>
            <w:tcW w:w="1163" w:type="dxa"/>
            <w:tcBorders>
              <w:top w:val="nil"/>
              <w:left w:val="nil"/>
              <w:bottom w:val="dotted" w:sz="4" w:space="0" w:color="BB1823"/>
              <w:right w:val="nil"/>
            </w:tcBorders>
            <w:shd w:val="clear" w:color="000000" w:fill="FFFFFF"/>
            <w:vAlign w:val="center"/>
            <w:hideMark/>
          </w:tcPr>
          <w:p w14:paraId="0FF63462"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17,37</w:t>
            </w:r>
          </w:p>
        </w:tc>
        <w:tc>
          <w:tcPr>
            <w:tcW w:w="1163" w:type="dxa"/>
            <w:tcBorders>
              <w:top w:val="nil"/>
              <w:left w:val="nil"/>
              <w:bottom w:val="dotted" w:sz="4" w:space="0" w:color="BB1823"/>
              <w:right w:val="nil"/>
            </w:tcBorders>
            <w:shd w:val="clear" w:color="000000" w:fill="FFFFFF"/>
            <w:vAlign w:val="center"/>
            <w:hideMark/>
          </w:tcPr>
          <w:p w14:paraId="7344553C"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1,19</w:t>
            </w:r>
          </w:p>
        </w:tc>
        <w:tc>
          <w:tcPr>
            <w:tcW w:w="1163" w:type="dxa"/>
            <w:tcBorders>
              <w:top w:val="nil"/>
              <w:left w:val="nil"/>
              <w:bottom w:val="dotted" w:sz="4" w:space="0" w:color="BB1823"/>
              <w:right w:val="nil"/>
            </w:tcBorders>
            <w:shd w:val="clear" w:color="000000" w:fill="FFFFFF"/>
            <w:vAlign w:val="center"/>
            <w:hideMark/>
          </w:tcPr>
          <w:p w14:paraId="1F86E37F"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1,37</w:t>
            </w:r>
          </w:p>
        </w:tc>
        <w:tc>
          <w:tcPr>
            <w:tcW w:w="1163" w:type="dxa"/>
            <w:tcBorders>
              <w:top w:val="nil"/>
              <w:left w:val="nil"/>
              <w:bottom w:val="dotted" w:sz="4" w:space="0" w:color="BB1823"/>
              <w:right w:val="nil"/>
            </w:tcBorders>
            <w:shd w:val="clear" w:color="000000" w:fill="FFFFFF"/>
            <w:vAlign w:val="center"/>
            <w:hideMark/>
          </w:tcPr>
          <w:p w14:paraId="14D24CFD"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2,39</w:t>
            </w:r>
          </w:p>
        </w:tc>
      </w:tr>
      <w:tr w:rsidR="0082574E" w:rsidRPr="0082574E" w14:paraId="0C866AAF" w14:textId="77777777" w:rsidTr="00991767">
        <w:trPr>
          <w:trHeight w:val="561"/>
          <w:jc w:val="center"/>
        </w:trPr>
        <w:tc>
          <w:tcPr>
            <w:tcW w:w="2843" w:type="dxa"/>
            <w:tcBorders>
              <w:top w:val="nil"/>
              <w:left w:val="nil"/>
              <w:bottom w:val="dotted" w:sz="4" w:space="0" w:color="BB1823"/>
              <w:right w:val="nil"/>
            </w:tcBorders>
            <w:shd w:val="clear" w:color="000000" w:fill="FFFFFF"/>
            <w:vAlign w:val="center"/>
            <w:hideMark/>
          </w:tcPr>
          <w:p w14:paraId="5330CCA8" w14:textId="77777777" w:rsidR="0082574E" w:rsidRPr="0082574E" w:rsidRDefault="0082574E" w:rsidP="0082574E">
            <w:pPr>
              <w:rPr>
                <w:rFonts w:eastAsia="Times New Roman" w:cs="Calibri"/>
                <w:color w:val="333B68"/>
                <w:sz w:val="18"/>
                <w:szCs w:val="18"/>
                <w:lang w:eastAsia="es-CL"/>
              </w:rPr>
            </w:pPr>
            <w:r w:rsidRPr="0082574E">
              <w:rPr>
                <w:rFonts w:eastAsia="Times New Roman" w:cs="Calibri"/>
                <w:color w:val="333B68"/>
                <w:sz w:val="18"/>
                <w:szCs w:val="18"/>
                <w:lang w:eastAsia="es-CL"/>
              </w:rPr>
              <w:t>Período Pago de Deuda Financiera (veces)</w:t>
            </w:r>
          </w:p>
        </w:tc>
        <w:tc>
          <w:tcPr>
            <w:tcW w:w="1161" w:type="dxa"/>
            <w:tcBorders>
              <w:top w:val="nil"/>
              <w:left w:val="nil"/>
              <w:bottom w:val="dotted" w:sz="4" w:space="0" w:color="BB1823"/>
              <w:right w:val="nil"/>
            </w:tcBorders>
            <w:shd w:val="clear" w:color="000000" w:fill="FFFFFF"/>
            <w:vAlign w:val="center"/>
            <w:hideMark/>
          </w:tcPr>
          <w:p w14:paraId="1228280B"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2,59</w:t>
            </w:r>
          </w:p>
        </w:tc>
        <w:tc>
          <w:tcPr>
            <w:tcW w:w="1162" w:type="dxa"/>
            <w:tcBorders>
              <w:top w:val="nil"/>
              <w:left w:val="nil"/>
              <w:bottom w:val="dotted" w:sz="4" w:space="0" w:color="BB1823"/>
              <w:right w:val="nil"/>
            </w:tcBorders>
            <w:shd w:val="clear" w:color="000000" w:fill="FFFFFF"/>
            <w:vAlign w:val="center"/>
            <w:hideMark/>
          </w:tcPr>
          <w:p w14:paraId="2994EDC3"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6,42</w:t>
            </w:r>
          </w:p>
        </w:tc>
        <w:tc>
          <w:tcPr>
            <w:tcW w:w="1163" w:type="dxa"/>
            <w:tcBorders>
              <w:top w:val="nil"/>
              <w:left w:val="nil"/>
              <w:bottom w:val="dotted" w:sz="4" w:space="0" w:color="BB1823"/>
              <w:right w:val="nil"/>
            </w:tcBorders>
            <w:shd w:val="clear" w:color="000000" w:fill="FFFFFF"/>
            <w:vAlign w:val="center"/>
            <w:hideMark/>
          </w:tcPr>
          <w:p w14:paraId="51721B6B"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3,50</w:t>
            </w:r>
          </w:p>
        </w:tc>
        <w:tc>
          <w:tcPr>
            <w:tcW w:w="1163" w:type="dxa"/>
            <w:tcBorders>
              <w:top w:val="nil"/>
              <w:left w:val="nil"/>
              <w:bottom w:val="dotted" w:sz="4" w:space="0" w:color="BB1823"/>
              <w:right w:val="nil"/>
            </w:tcBorders>
            <w:shd w:val="clear" w:color="000000" w:fill="FFFFFF"/>
            <w:vAlign w:val="center"/>
            <w:hideMark/>
          </w:tcPr>
          <w:p w14:paraId="2192BFF3"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7,21</w:t>
            </w:r>
          </w:p>
        </w:tc>
        <w:tc>
          <w:tcPr>
            <w:tcW w:w="1163" w:type="dxa"/>
            <w:tcBorders>
              <w:top w:val="nil"/>
              <w:left w:val="nil"/>
              <w:bottom w:val="dotted" w:sz="4" w:space="0" w:color="BB1823"/>
              <w:right w:val="nil"/>
            </w:tcBorders>
            <w:shd w:val="clear" w:color="000000" w:fill="FFFFFF"/>
            <w:vAlign w:val="center"/>
            <w:hideMark/>
          </w:tcPr>
          <w:p w14:paraId="15DA8C38"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6,17</w:t>
            </w:r>
          </w:p>
        </w:tc>
        <w:tc>
          <w:tcPr>
            <w:tcW w:w="1163" w:type="dxa"/>
            <w:tcBorders>
              <w:top w:val="nil"/>
              <w:left w:val="nil"/>
              <w:bottom w:val="dotted" w:sz="4" w:space="0" w:color="BB1823"/>
              <w:right w:val="nil"/>
            </w:tcBorders>
            <w:shd w:val="clear" w:color="000000" w:fill="FFFFFF"/>
            <w:vAlign w:val="center"/>
            <w:hideMark/>
          </w:tcPr>
          <w:p w14:paraId="7C4209FF"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3,86</w:t>
            </w:r>
          </w:p>
        </w:tc>
      </w:tr>
      <w:tr w:rsidR="0082574E" w:rsidRPr="0082574E" w14:paraId="28E0D8C9" w14:textId="77777777" w:rsidTr="00991767">
        <w:trPr>
          <w:trHeight w:val="567"/>
          <w:jc w:val="center"/>
        </w:trPr>
        <w:tc>
          <w:tcPr>
            <w:tcW w:w="2843" w:type="dxa"/>
            <w:tcBorders>
              <w:top w:val="nil"/>
              <w:left w:val="nil"/>
              <w:bottom w:val="dotted" w:sz="4" w:space="0" w:color="BB1823"/>
              <w:right w:val="nil"/>
            </w:tcBorders>
            <w:shd w:val="clear" w:color="000000" w:fill="FFFFFF"/>
            <w:vAlign w:val="center"/>
            <w:hideMark/>
          </w:tcPr>
          <w:p w14:paraId="1BB7768C" w14:textId="77777777" w:rsidR="0082574E" w:rsidRPr="0082574E" w:rsidRDefault="0082574E" w:rsidP="0082574E">
            <w:pPr>
              <w:rPr>
                <w:rFonts w:eastAsia="Times New Roman" w:cs="Calibri"/>
                <w:color w:val="333B68"/>
                <w:sz w:val="18"/>
                <w:szCs w:val="18"/>
                <w:lang w:eastAsia="es-CL"/>
              </w:rPr>
            </w:pPr>
            <w:r w:rsidRPr="0082574E">
              <w:rPr>
                <w:rFonts w:eastAsia="Times New Roman" w:cs="Calibri"/>
                <w:color w:val="333B68"/>
                <w:sz w:val="18"/>
                <w:szCs w:val="18"/>
                <w:lang w:eastAsia="es-CL"/>
              </w:rPr>
              <w:t>EBITDA sobre Deuda Financiera (veces)</w:t>
            </w:r>
          </w:p>
        </w:tc>
        <w:tc>
          <w:tcPr>
            <w:tcW w:w="1161" w:type="dxa"/>
            <w:tcBorders>
              <w:top w:val="nil"/>
              <w:left w:val="nil"/>
              <w:bottom w:val="dotted" w:sz="4" w:space="0" w:color="BB1823"/>
              <w:right w:val="nil"/>
            </w:tcBorders>
            <w:shd w:val="clear" w:color="000000" w:fill="FFFFFF"/>
            <w:vAlign w:val="center"/>
            <w:hideMark/>
          </w:tcPr>
          <w:p w14:paraId="684B8A76"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0,39</w:t>
            </w:r>
          </w:p>
        </w:tc>
        <w:tc>
          <w:tcPr>
            <w:tcW w:w="1162" w:type="dxa"/>
            <w:tcBorders>
              <w:top w:val="nil"/>
              <w:left w:val="nil"/>
              <w:bottom w:val="dotted" w:sz="4" w:space="0" w:color="BB1823"/>
              <w:right w:val="nil"/>
            </w:tcBorders>
            <w:shd w:val="clear" w:color="000000" w:fill="FFFFFF"/>
            <w:vAlign w:val="center"/>
            <w:hideMark/>
          </w:tcPr>
          <w:p w14:paraId="350BB426"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0,16</w:t>
            </w:r>
          </w:p>
        </w:tc>
        <w:tc>
          <w:tcPr>
            <w:tcW w:w="1163" w:type="dxa"/>
            <w:tcBorders>
              <w:top w:val="nil"/>
              <w:left w:val="nil"/>
              <w:bottom w:val="dotted" w:sz="4" w:space="0" w:color="BB1823"/>
              <w:right w:val="nil"/>
            </w:tcBorders>
            <w:shd w:val="clear" w:color="000000" w:fill="FFFFFF"/>
            <w:vAlign w:val="center"/>
            <w:hideMark/>
          </w:tcPr>
          <w:p w14:paraId="1D0AE322"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0,29</w:t>
            </w:r>
          </w:p>
        </w:tc>
        <w:tc>
          <w:tcPr>
            <w:tcW w:w="1163" w:type="dxa"/>
            <w:tcBorders>
              <w:top w:val="nil"/>
              <w:left w:val="nil"/>
              <w:bottom w:val="dotted" w:sz="4" w:space="0" w:color="BB1823"/>
              <w:right w:val="nil"/>
            </w:tcBorders>
            <w:shd w:val="clear" w:color="000000" w:fill="FFFFFF"/>
            <w:vAlign w:val="center"/>
            <w:hideMark/>
          </w:tcPr>
          <w:p w14:paraId="45B85436"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0,14</w:t>
            </w:r>
          </w:p>
        </w:tc>
        <w:tc>
          <w:tcPr>
            <w:tcW w:w="1163" w:type="dxa"/>
            <w:tcBorders>
              <w:top w:val="nil"/>
              <w:left w:val="nil"/>
              <w:bottom w:val="dotted" w:sz="4" w:space="0" w:color="BB1823"/>
              <w:right w:val="nil"/>
            </w:tcBorders>
            <w:shd w:val="clear" w:color="000000" w:fill="FFFFFF"/>
            <w:vAlign w:val="center"/>
            <w:hideMark/>
          </w:tcPr>
          <w:p w14:paraId="4B8372AF"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0,16</w:t>
            </w:r>
          </w:p>
        </w:tc>
        <w:tc>
          <w:tcPr>
            <w:tcW w:w="1163" w:type="dxa"/>
            <w:tcBorders>
              <w:top w:val="nil"/>
              <w:left w:val="nil"/>
              <w:bottom w:val="dotted" w:sz="4" w:space="0" w:color="BB1823"/>
              <w:right w:val="nil"/>
            </w:tcBorders>
            <w:shd w:val="clear" w:color="000000" w:fill="FFFFFF"/>
            <w:vAlign w:val="center"/>
            <w:hideMark/>
          </w:tcPr>
          <w:p w14:paraId="0CD37FF7"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0,26</w:t>
            </w:r>
          </w:p>
        </w:tc>
      </w:tr>
      <w:tr w:rsidR="0082574E" w:rsidRPr="0082574E" w14:paraId="5418A999" w14:textId="77777777" w:rsidTr="00991767">
        <w:trPr>
          <w:trHeight w:val="567"/>
          <w:jc w:val="center"/>
        </w:trPr>
        <w:tc>
          <w:tcPr>
            <w:tcW w:w="2843" w:type="dxa"/>
            <w:tcBorders>
              <w:top w:val="nil"/>
              <w:left w:val="nil"/>
              <w:bottom w:val="dotted" w:sz="4" w:space="0" w:color="BB1823"/>
              <w:right w:val="nil"/>
            </w:tcBorders>
            <w:shd w:val="clear" w:color="000000" w:fill="FFFFFF"/>
            <w:vAlign w:val="center"/>
            <w:hideMark/>
          </w:tcPr>
          <w:p w14:paraId="54E95762" w14:textId="77777777" w:rsidR="0082574E" w:rsidRPr="0082574E" w:rsidRDefault="0082574E" w:rsidP="0082574E">
            <w:pPr>
              <w:rPr>
                <w:rFonts w:eastAsia="Times New Roman" w:cs="Calibri"/>
                <w:color w:val="333B68"/>
                <w:sz w:val="18"/>
                <w:szCs w:val="18"/>
                <w:lang w:eastAsia="es-CL"/>
              </w:rPr>
            </w:pPr>
            <w:r w:rsidRPr="0082574E">
              <w:rPr>
                <w:rFonts w:eastAsia="Times New Roman" w:cs="Calibri"/>
                <w:color w:val="333B68"/>
                <w:sz w:val="18"/>
                <w:szCs w:val="18"/>
                <w:lang w:eastAsia="es-CL"/>
              </w:rPr>
              <w:lastRenderedPageBreak/>
              <w:t>Porción Relativa Bancos y Bonos (%)</w:t>
            </w:r>
          </w:p>
        </w:tc>
        <w:tc>
          <w:tcPr>
            <w:tcW w:w="1161" w:type="dxa"/>
            <w:tcBorders>
              <w:top w:val="nil"/>
              <w:left w:val="nil"/>
              <w:bottom w:val="dotted" w:sz="4" w:space="0" w:color="BB1823"/>
              <w:right w:val="nil"/>
            </w:tcBorders>
            <w:shd w:val="clear" w:color="000000" w:fill="FFFFFF"/>
            <w:vAlign w:val="center"/>
            <w:hideMark/>
          </w:tcPr>
          <w:p w14:paraId="16CA2591"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69,75%</w:t>
            </w:r>
          </w:p>
        </w:tc>
        <w:tc>
          <w:tcPr>
            <w:tcW w:w="1162" w:type="dxa"/>
            <w:tcBorders>
              <w:top w:val="nil"/>
              <w:left w:val="nil"/>
              <w:bottom w:val="dotted" w:sz="4" w:space="0" w:color="BB1823"/>
              <w:right w:val="nil"/>
            </w:tcBorders>
            <w:shd w:val="clear" w:color="000000" w:fill="FFFFFF"/>
            <w:vAlign w:val="center"/>
            <w:hideMark/>
          </w:tcPr>
          <w:p w14:paraId="640FF2C8"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70,71%</w:t>
            </w:r>
          </w:p>
        </w:tc>
        <w:tc>
          <w:tcPr>
            <w:tcW w:w="1163" w:type="dxa"/>
            <w:tcBorders>
              <w:top w:val="nil"/>
              <w:left w:val="nil"/>
              <w:bottom w:val="dotted" w:sz="4" w:space="0" w:color="BB1823"/>
              <w:right w:val="nil"/>
            </w:tcBorders>
            <w:shd w:val="clear" w:color="000000" w:fill="FFFFFF"/>
            <w:vAlign w:val="center"/>
            <w:hideMark/>
          </w:tcPr>
          <w:p w14:paraId="52E1CAF5"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65,91%</w:t>
            </w:r>
          </w:p>
        </w:tc>
        <w:tc>
          <w:tcPr>
            <w:tcW w:w="1163" w:type="dxa"/>
            <w:tcBorders>
              <w:top w:val="nil"/>
              <w:left w:val="nil"/>
              <w:bottom w:val="dotted" w:sz="4" w:space="0" w:color="BB1823"/>
              <w:right w:val="nil"/>
            </w:tcBorders>
            <w:shd w:val="clear" w:color="000000" w:fill="FFFFFF"/>
            <w:vAlign w:val="center"/>
            <w:hideMark/>
          </w:tcPr>
          <w:p w14:paraId="3B33ECD9"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76,38%</w:t>
            </w:r>
          </w:p>
        </w:tc>
        <w:tc>
          <w:tcPr>
            <w:tcW w:w="1163" w:type="dxa"/>
            <w:tcBorders>
              <w:top w:val="nil"/>
              <w:left w:val="nil"/>
              <w:bottom w:val="dotted" w:sz="4" w:space="0" w:color="BB1823"/>
              <w:right w:val="nil"/>
            </w:tcBorders>
            <w:shd w:val="clear" w:color="000000" w:fill="FFFFFF"/>
            <w:vAlign w:val="center"/>
            <w:hideMark/>
          </w:tcPr>
          <w:p w14:paraId="5212247C"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74,84%</w:t>
            </w:r>
          </w:p>
        </w:tc>
        <w:tc>
          <w:tcPr>
            <w:tcW w:w="1163" w:type="dxa"/>
            <w:tcBorders>
              <w:top w:val="nil"/>
              <w:left w:val="nil"/>
              <w:bottom w:val="dotted" w:sz="4" w:space="0" w:color="BB1823"/>
              <w:right w:val="nil"/>
            </w:tcBorders>
            <w:shd w:val="clear" w:color="000000" w:fill="FFFFFF"/>
            <w:vAlign w:val="center"/>
            <w:hideMark/>
          </w:tcPr>
          <w:p w14:paraId="1D0E9938"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73,82%</w:t>
            </w:r>
          </w:p>
        </w:tc>
      </w:tr>
      <w:tr w:rsidR="0082574E" w:rsidRPr="0082574E" w14:paraId="0ECDCAEF" w14:textId="77777777" w:rsidTr="00991767">
        <w:trPr>
          <w:trHeight w:val="564"/>
          <w:jc w:val="center"/>
        </w:trPr>
        <w:tc>
          <w:tcPr>
            <w:tcW w:w="2843" w:type="dxa"/>
            <w:tcBorders>
              <w:top w:val="nil"/>
              <w:left w:val="nil"/>
              <w:bottom w:val="dotted" w:sz="4" w:space="0" w:color="BB1823"/>
              <w:right w:val="nil"/>
            </w:tcBorders>
            <w:shd w:val="clear" w:color="000000" w:fill="FFFFFF"/>
            <w:vAlign w:val="center"/>
            <w:hideMark/>
          </w:tcPr>
          <w:p w14:paraId="512F2B85" w14:textId="77777777" w:rsidR="0082574E" w:rsidRPr="0082574E" w:rsidRDefault="0082574E" w:rsidP="0082574E">
            <w:pPr>
              <w:rPr>
                <w:rFonts w:eastAsia="Times New Roman" w:cs="Calibri"/>
                <w:color w:val="333B68"/>
                <w:sz w:val="18"/>
                <w:szCs w:val="18"/>
                <w:lang w:eastAsia="es-CL"/>
              </w:rPr>
            </w:pPr>
            <w:r w:rsidRPr="0082574E">
              <w:rPr>
                <w:rFonts w:eastAsia="Times New Roman" w:cs="Calibri"/>
                <w:color w:val="333B68"/>
                <w:sz w:val="18"/>
                <w:szCs w:val="18"/>
                <w:lang w:eastAsia="es-CL"/>
              </w:rPr>
              <w:t>Deuda Relacionada sobre Pasivos (%)</w:t>
            </w:r>
          </w:p>
        </w:tc>
        <w:tc>
          <w:tcPr>
            <w:tcW w:w="1161" w:type="dxa"/>
            <w:tcBorders>
              <w:top w:val="nil"/>
              <w:left w:val="nil"/>
              <w:bottom w:val="dotted" w:sz="4" w:space="0" w:color="BB1823"/>
              <w:right w:val="nil"/>
            </w:tcBorders>
            <w:shd w:val="clear" w:color="000000" w:fill="FFFFFF"/>
            <w:vAlign w:val="center"/>
            <w:hideMark/>
          </w:tcPr>
          <w:p w14:paraId="19A57E76"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0,00%</w:t>
            </w:r>
          </w:p>
        </w:tc>
        <w:tc>
          <w:tcPr>
            <w:tcW w:w="1162" w:type="dxa"/>
            <w:tcBorders>
              <w:top w:val="nil"/>
              <w:left w:val="nil"/>
              <w:bottom w:val="dotted" w:sz="4" w:space="0" w:color="BB1823"/>
              <w:right w:val="nil"/>
            </w:tcBorders>
            <w:shd w:val="clear" w:color="000000" w:fill="FFFFFF"/>
            <w:vAlign w:val="center"/>
            <w:hideMark/>
          </w:tcPr>
          <w:p w14:paraId="7CF132FB"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0,00%</w:t>
            </w:r>
          </w:p>
        </w:tc>
        <w:tc>
          <w:tcPr>
            <w:tcW w:w="1163" w:type="dxa"/>
            <w:tcBorders>
              <w:top w:val="nil"/>
              <w:left w:val="nil"/>
              <w:bottom w:val="dotted" w:sz="4" w:space="0" w:color="BB1823"/>
              <w:right w:val="nil"/>
            </w:tcBorders>
            <w:shd w:val="clear" w:color="000000" w:fill="FFFFFF"/>
            <w:vAlign w:val="center"/>
            <w:hideMark/>
          </w:tcPr>
          <w:p w14:paraId="4C3DB747"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0,00%</w:t>
            </w:r>
          </w:p>
        </w:tc>
        <w:tc>
          <w:tcPr>
            <w:tcW w:w="1163" w:type="dxa"/>
            <w:tcBorders>
              <w:top w:val="nil"/>
              <w:left w:val="nil"/>
              <w:bottom w:val="dotted" w:sz="4" w:space="0" w:color="BB1823"/>
              <w:right w:val="nil"/>
            </w:tcBorders>
            <w:shd w:val="clear" w:color="000000" w:fill="FFFFFF"/>
            <w:vAlign w:val="center"/>
            <w:hideMark/>
          </w:tcPr>
          <w:p w14:paraId="76ACEE70"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0,91%</w:t>
            </w:r>
          </w:p>
        </w:tc>
        <w:tc>
          <w:tcPr>
            <w:tcW w:w="1163" w:type="dxa"/>
            <w:tcBorders>
              <w:top w:val="nil"/>
              <w:left w:val="nil"/>
              <w:bottom w:val="dotted" w:sz="4" w:space="0" w:color="BB1823"/>
              <w:right w:val="nil"/>
            </w:tcBorders>
            <w:shd w:val="clear" w:color="000000" w:fill="FFFFFF"/>
            <w:vAlign w:val="center"/>
            <w:hideMark/>
          </w:tcPr>
          <w:p w14:paraId="6344421C"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0,00%</w:t>
            </w:r>
          </w:p>
        </w:tc>
        <w:tc>
          <w:tcPr>
            <w:tcW w:w="1163" w:type="dxa"/>
            <w:tcBorders>
              <w:top w:val="nil"/>
              <w:left w:val="nil"/>
              <w:bottom w:val="dotted" w:sz="4" w:space="0" w:color="BB1823"/>
              <w:right w:val="nil"/>
            </w:tcBorders>
            <w:shd w:val="clear" w:color="000000" w:fill="FFFFFF"/>
            <w:vAlign w:val="center"/>
            <w:hideMark/>
          </w:tcPr>
          <w:p w14:paraId="4CA91D17"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0,00%</w:t>
            </w:r>
          </w:p>
        </w:tc>
      </w:tr>
      <w:tr w:rsidR="0082574E" w:rsidRPr="0082574E" w14:paraId="12ABE5F0" w14:textId="77777777" w:rsidTr="00991767">
        <w:trPr>
          <w:trHeight w:val="544"/>
          <w:jc w:val="center"/>
        </w:trPr>
        <w:tc>
          <w:tcPr>
            <w:tcW w:w="2843" w:type="dxa"/>
            <w:tcBorders>
              <w:top w:val="nil"/>
              <w:left w:val="nil"/>
              <w:bottom w:val="nil"/>
              <w:right w:val="nil"/>
            </w:tcBorders>
            <w:shd w:val="clear" w:color="000000" w:fill="FFFFFF"/>
            <w:vAlign w:val="center"/>
            <w:hideMark/>
          </w:tcPr>
          <w:p w14:paraId="07EEE28F" w14:textId="77777777" w:rsidR="0082574E" w:rsidRPr="0082574E" w:rsidRDefault="0082574E" w:rsidP="0082574E">
            <w:pPr>
              <w:rPr>
                <w:rFonts w:eastAsia="Times New Roman" w:cs="Calibri"/>
                <w:color w:val="333B68"/>
                <w:sz w:val="18"/>
                <w:szCs w:val="18"/>
                <w:lang w:eastAsia="es-CL"/>
              </w:rPr>
            </w:pPr>
            <w:r w:rsidRPr="0082574E">
              <w:rPr>
                <w:rFonts w:eastAsia="Times New Roman" w:cs="Calibri"/>
                <w:color w:val="333B68"/>
                <w:sz w:val="18"/>
                <w:szCs w:val="18"/>
                <w:lang w:eastAsia="es-CL"/>
              </w:rPr>
              <w:t>Veces que se gana el Interés (veces)</w:t>
            </w:r>
          </w:p>
        </w:tc>
        <w:tc>
          <w:tcPr>
            <w:tcW w:w="1161" w:type="dxa"/>
            <w:tcBorders>
              <w:top w:val="nil"/>
              <w:left w:val="nil"/>
              <w:bottom w:val="nil"/>
              <w:right w:val="nil"/>
            </w:tcBorders>
            <w:shd w:val="clear" w:color="000000" w:fill="FFFFFF"/>
            <w:vAlign w:val="center"/>
            <w:hideMark/>
          </w:tcPr>
          <w:p w14:paraId="7276301C"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16,78</w:t>
            </w:r>
          </w:p>
        </w:tc>
        <w:tc>
          <w:tcPr>
            <w:tcW w:w="1162" w:type="dxa"/>
            <w:tcBorders>
              <w:top w:val="nil"/>
              <w:left w:val="nil"/>
              <w:bottom w:val="nil"/>
              <w:right w:val="nil"/>
            </w:tcBorders>
            <w:shd w:val="clear" w:color="000000" w:fill="FFFFFF"/>
            <w:vAlign w:val="center"/>
            <w:hideMark/>
          </w:tcPr>
          <w:p w14:paraId="3B2089CC"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4,62</w:t>
            </w:r>
          </w:p>
        </w:tc>
        <w:tc>
          <w:tcPr>
            <w:tcW w:w="1163" w:type="dxa"/>
            <w:tcBorders>
              <w:top w:val="nil"/>
              <w:left w:val="nil"/>
              <w:bottom w:val="nil"/>
              <w:right w:val="nil"/>
            </w:tcBorders>
            <w:shd w:val="clear" w:color="000000" w:fill="FFFFFF"/>
            <w:vAlign w:val="center"/>
            <w:hideMark/>
          </w:tcPr>
          <w:p w14:paraId="6A53390A"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3,72</w:t>
            </w:r>
          </w:p>
        </w:tc>
        <w:tc>
          <w:tcPr>
            <w:tcW w:w="1163" w:type="dxa"/>
            <w:tcBorders>
              <w:top w:val="nil"/>
              <w:left w:val="nil"/>
              <w:bottom w:val="nil"/>
              <w:right w:val="nil"/>
            </w:tcBorders>
            <w:shd w:val="clear" w:color="000000" w:fill="FFFFFF"/>
            <w:vAlign w:val="center"/>
            <w:hideMark/>
          </w:tcPr>
          <w:p w14:paraId="15C01DFC"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2,23</w:t>
            </w:r>
          </w:p>
        </w:tc>
        <w:tc>
          <w:tcPr>
            <w:tcW w:w="1163" w:type="dxa"/>
            <w:tcBorders>
              <w:top w:val="nil"/>
              <w:left w:val="nil"/>
              <w:bottom w:val="nil"/>
              <w:right w:val="nil"/>
            </w:tcBorders>
            <w:shd w:val="clear" w:color="000000" w:fill="FFFFFF"/>
            <w:vAlign w:val="center"/>
            <w:hideMark/>
          </w:tcPr>
          <w:p w14:paraId="064B0EDD"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3,49</w:t>
            </w:r>
          </w:p>
        </w:tc>
        <w:tc>
          <w:tcPr>
            <w:tcW w:w="1163" w:type="dxa"/>
            <w:tcBorders>
              <w:top w:val="nil"/>
              <w:left w:val="nil"/>
              <w:bottom w:val="nil"/>
              <w:right w:val="nil"/>
            </w:tcBorders>
            <w:shd w:val="clear" w:color="000000" w:fill="FFFFFF"/>
            <w:vAlign w:val="center"/>
            <w:hideMark/>
          </w:tcPr>
          <w:p w14:paraId="0885DE40" w14:textId="77777777" w:rsidR="0082574E" w:rsidRPr="0082574E" w:rsidRDefault="0082574E" w:rsidP="0082574E">
            <w:pPr>
              <w:jc w:val="center"/>
              <w:rPr>
                <w:rFonts w:eastAsia="Times New Roman" w:cs="Calibri"/>
                <w:color w:val="333B68"/>
                <w:sz w:val="18"/>
                <w:szCs w:val="18"/>
                <w:lang w:eastAsia="es-CL"/>
              </w:rPr>
            </w:pPr>
            <w:r w:rsidRPr="0082574E">
              <w:rPr>
                <w:rFonts w:eastAsia="Times New Roman" w:cs="Calibri"/>
                <w:color w:val="333B68"/>
                <w:sz w:val="18"/>
                <w:szCs w:val="18"/>
                <w:lang w:eastAsia="es-CL"/>
              </w:rPr>
              <w:t>9,89</w:t>
            </w:r>
          </w:p>
        </w:tc>
      </w:tr>
    </w:tbl>
    <w:p w14:paraId="56813365" w14:textId="77777777" w:rsidR="0082574E" w:rsidRDefault="0082574E"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tbl>
      <w:tblPr>
        <w:tblW w:w="9818" w:type="dxa"/>
        <w:jc w:val="center"/>
        <w:tblCellMar>
          <w:left w:w="70" w:type="dxa"/>
          <w:right w:w="70" w:type="dxa"/>
        </w:tblCellMar>
        <w:tblLook w:val="04A0" w:firstRow="1" w:lastRow="0" w:firstColumn="1" w:lastColumn="0" w:noHBand="0" w:noVBand="1"/>
      </w:tblPr>
      <w:tblGrid>
        <w:gridCol w:w="2618"/>
        <w:gridCol w:w="1200"/>
        <w:gridCol w:w="1200"/>
        <w:gridCol w:w="1200"/>
        <w:gridCol w:w="1200"/>
        <w:gridCol w:w="1200"/>
        <w:gridCol w:w="1200"/>
      </w:tblGrid>
      <w:tr w:rsidR="00A66D21" w:rsidRPr="00A66D21" w14:paraId="46476C72" w14:textId="77777777" w:rsidTr="007604E9">
        <w:trPr>
          <w:trHeight w:val="480"/>
          <w:jc w:val="center"/>
        </w:trPr>
        <w:tc>
          <w:tcPr>
            <w:tcW w:w="2618" w:type="dxa"/>
            <w:tcBorders>
              <w:top w:val="nil"/>
              <w:left w:val="nil"/>
              <w:bottom w:val="nil"/>
              <w:right w:val="nil"/>
            </w:tcBorders>
            <w:shd w:val="clear" w:color="000000" w:fill="BB1823"/>
            <w:vAlign w:val="center"/>
            <w:hideMark/>
          </w:tcPr>
          <w:p w14:paraId="6A9D9F34" w14:textId="77777777" w:rsidR="00A66D21" w:rsidRPr="00A66D21" w:rsidRDefault="00A66D21" w:rsidP="00A66D21">
            <w:pPr>
              <w:rPr>
                <w:rFonts w:eastAsia="Times New Roman" w:cs="Calibri"/>
                <w:b/>
                <w:bCs/>
                <w:color w:val="FFFFFF"/>
                <w:sz w:val="18"/>
                <w:szCs w:val="18"/>
                <w:lang w:eastAsia="es-CL"/>
              </w:rPr>
            </w:pPr>
            <w:r w:rsidRPr="00A66D21">
              <w:rPr>
                <w:rFonts w:eastAsia="Times New Roman" w:cs="Calibri"/>
                <w:b/>
                <w:bCs/>
                <w:color w:val="FFFFFF"/>
                <w:sz w:val="18"/>
                <w:szCs w:val="18"/>
                <w:lang w:eastAsia="es-CL"/>
              </w:rPr>
              <w:t>Ratios de rentabilidad</w:t>
            </w:r>
          </w:p>
        </w:tc>
        <w:tc>
          <w:tcPr>
            <w:tcW w:w="1200" w:type="dxa"/>
            <w:tcBorders>
              <w:top w:val="nil"/>
              <w:left w:val="nil"/>
              <w:bottom w:val="nil"/>
              <w:right w:val="nil"/>
            </w:tcBorders>
            <w:shd w:val="clear" w:color="000000" w:fill="BB1823"/>
            <w:vAlign w:val="center"/>
            <w:hideMark/>
          </w:tcPr>
          <w:p w14:paraId="3BF18FE4" w14:textId="77777777" w:rsidR="00A66D21" w:rsidRPr="00A66D21" w:rsidRDefault="00A66D21" w:rsidP="00A66D21">
            <w:pPr>
              <w:jc w:val="center"/>
              <w:rPr>
                <w:rFonts w:eastAsia="Times New Roman" w:cs="Calibri"/>
                <w:b/>
                <w:bCs/>
                <w:color w:val="FFFFFF"/>
                <w:sz w:val="18"/>
                <w:szCs w:val="18"/>
                <w:lang w:eastAsia="es-CL"/>
              </w:rPr>
            </w:pPr>
            <w:r w:rsidRPr="00A66D21">
              <w:rPr>
                <w:rFonts w:eastAsia="Times New Roman" w:cs="Calibri"/>
                <w:b/>
                <w:bCs/>
                <w:color w:val="FFFFFF"/>
                <w:sz w:val="18"/>
                <w:szCs w:val="18"/>
                <w:lang w:eastAsia="es-CL"/>
              </w:rPr>
              <w:t>2016</w:t>
            </w:r>
          </w:p>
        </w:tc>
        <w:tc>
          <w:tcPr>
            <w:tcW w:w="1200" w:type="dxa"/>
            <w:tcBorders>
              <w:top w:val="nil"/>
              <w:left w:val="nil"/>
              <w:bottom w:val="nil"/>
              <w:right w:val="nil"/>
            </w:tcBorders>
            <w:shd w:val="clear" w:color="000000" w:fill="BB1823"/>
            <w:vAlign w:val="center"/>
            <w:hideMark/>
          </w:tcPr>
          <w:p w14:paraId="3D29FD4A" w14:textId="77777777" w:rsidR="00A66D21" w:rsidRPr="00A66D21" w:rsidRDefault="00A66D21" w:rsidP="00A66D21">
            <w:pPr>
              <w:jc w:val="center"/>
              <w:rPr>
                <w:rFonts w:eastAsia="Times New Roman" w:cs="Calibri"/>
                <w:b/>
                <w:bCs/>
                <w:color w:val="FFFFFF"/>
                <w:sz w:val="18"/>
                <w:szCs w:val="18"/>
                <w:lang w:eastAsia="es-CL"/>
              </w:rPr>
            </w:pPr>
            <w:r w:rsidRPr="00A66D21">
              <w:rPr>
                <w:rFonts w:eastAsia="Times New Roman" w:cs="Calibri"/>
                <w:b/>
                <w:bCs/>
                <w:color w:val="FFFFFF"/>
                <w:sz w:val="18"/>
                <w:szCs w:val="18"/>
                <w:lang w:eastAsia="es-CL"/>
              </w:rPr>
              <w:t>2017</w:t>
            </w:r>
          </w:p>
        </w:tc>
        <w:tc>
          <w:tcPr>
            <w:tcW w:w="1200" w:type="dxa"/>
            <w:tcBorders>
              <w:top w:val="nil"/>
              <w:left w:val="nil"/>
              <w:bottom w:val="nil"/>
              <w:right w:val="nil"/>
            </w:tcBorders>
            <w:shd w:val="clear" w:color="000000" w:fill="BB1823"/>
            <w:vAlign w:val="center"/>
            <w:hideMark/>
          </w:tcPr>
          <w:p w14:paraId="0EE6C319" w14:textId="77777777" w:rsidR="00A66D21" w:rsidRPr="00A66D21" w:rsidRDefault="00A66D21" w:rsidP="00A66D21">
            <w:pPr>
              <w:jc w:val="center"/>
              <w:rPr>
                <w:rFonts w:eastAsia="Times New Roman" w:cs="Calibri"/>
                <w:b/>
                <w:bCs/>
                <w:color w:val="FFFFFF"/>
                <w:sz w:val="18"/>
                <w:szCs w:val="18"/>
                <w:lang w:eastAsia="es-CL"/>
              </w:rPr>
            </w:pPr>
            <w:r w:rsidRPr="00A66D21">
              <w:rPr>
                <w:rFonts w:eastAsia="Times New Roman" w:cs="Calibri"/>
                <w:b/>
                <w:bCs/>
                <w:color w:val="FFFFFF"/>
                <w:sz w:val="18"/>
                <w:szCs w:val="18"/>
                <w:lang w:eastAsia="es-CL"/>
              </w:rPr>
              <w:t>2018</w:t>
            </w:r>
          </w:p>
        </w:tc>
        <w:tc>
          <w:tcPr>
            <w:tcW w:w="1200" w:type="dxa"/>
            <w:tcBorders>
              <w:top w:val="nil"/>
              <w:left w:val="nil"/>
              <w:bottom w:val="nil"/>
              <w:right w:val="nil"/>
            </w:tcBorders>
            <w:shd w:val="clear" w:color="000000" w:fill="BB1823"/>
            <w:vAlign w:val="center"/>
            <w:hideMark/>
          </w:tcPr>
          <w:p w14:paraId="45D746EF" w14:textId="77777777" w:rsidR="00A66D21" w:rsidRPr="00A66D21" w:rsidRDefault="00A66D21" w:rsidP="00A66D21">
            <w:pPr>
              <w:jc w:val="center"/>
              <w:rPr>
                <w:rFonts w:eastAsia="Times New Roman" w:cs="Calibri"/>
                <w:b/>
                <w:bCs/>
                <w:color w:val="FFFFFF"/>
                <w:sz w:val="18"/>
                <w:szCs w:val="18"/>
                <w:lang w:eastAsia="es-CL"/>
              </w:rPr>
            </w:pPr>
            <w:r w:rsidRPr="00A66D21">
              <w:rPr>
                <w:rFonts w:eastAsia="Times New Roman" w:cs="Calibri"/>
                <w:b/>
                <w:bCs/>
                <w:color w:val="FFFFFF"/>
                <w:sz w:val="18"/>
                <w:szCs w:val="18"/>
                <w:lang w:eastAsia="es-CL"/>
              </w:rPr>
              <w:t>2019</w:t>
            </w:r>
          </w:p>
        </w:tc>
        <w:tc>
          <w:tcPr>
            <w:tcW w:w="1200" w:type="dxa"/>
            <w:tcBorders>
              <w:top w:val="nil"/>
              <w:left w:val="nil"/>
              <w:bottom w:val="nil"/>
              <w:right w:val="nil"/>
            </w:tcBorders>
            <w:shd w:val="clear" w:color="000000" w:fill="BB1823"/>
            <w:vAlign w:val="center"/>
            <w:hideMark/>
          </w:tcPr>
          <w:p w14:paraId="6EC92925" w14:textId="77777777" w:rsidR="00A66D21" w:rsidRPr="00A66D21" w:rsidRDefault="00A66D21" w:rsidP="00A66D21">
            <w:pPr>
              <w:jc w:val="center"/>
              <w:rPr>
                <w:rFonts w:eastAsia="Times New Roman" w:cs="Calibri"/>
                <w:b/>
                <w:bCs/>
                <w:color w:val="FFFFFF"/>
                <w:sz w:val="18"/>
                <w:szCs w:val="18"/>
                <w:lang w:eastAsia="es-CL"/>
              </w:rPr>
            </w:pPr>
            <w:r w:rsidRPr="00A66D21">
              <w:rPr>
                <w:rFonts w:eastAsia="Times New Roman" w:cs="Calibri"/>
                <w:b/>
                <w:bCs/>
                <w:color w:val="FFFFFF"/>
                <w:sz w:val="18"/>
                <w:szCs w:val="18"/>
                <w:lang w:eastAsia="es-CL"/>
              </w:rPr>
              <w:t>2020</w:t>
            </w:r>
          </w:p>
        </w:tc>
        <w:tc>
          <w:tcPr>
            <w:tcW w:w="1200" w:type="dxa"/>
            <w:tcBorders>
              <w:top w:val="nil"/>
              <w:left w:val="nil"/>
              <w:bottom w:val="nil"/>
              <w:right w:val="nil"/>
            </w:tcBorders>
            <w:shd w:val="clear" w:color="000000" w:fill="BB1823"/>
            <w:vAlign w:val="center"/>
            <w:hideMark/>
          </w:tcPr>
          <w:p w14:paraId="363C66FB" w14:textId="77777777" w:rsidR="00A66D21" w:rsidRPr="00A66D21" w:rsidRDefault="00A66D21" w:rsidP="00A66D21">
            <w:pPr>
              <w:jc w:val="center"/>
              <w:rPr>
                <w:rFonts w:eastAsia="Times New Roman" w:cs="Calibri"/>
                <w:b/>
                <w:bCs/>
                <w:color w:val="FFFFFF"/>
                <w:sz w:val="18"/>
                <w:szCs w:val="18"/>
                <w:lang w:eastAsia="es-CL"/>
              </w:rPr>
            </w:pPr>
            <w:r w:rsidRPr="00A66D21">
              <w:rPr>
                <w:rFonts w:eastAsia="Times New Roman" w:cs="Calibri"/>
                <w:b/>
                <w:bCs/>
                <w:color w:val="FFFFFF"/>
                <w:sz w:val="18"/>
                <w:szCs w:val="18"/>
                <w:lang w:eastAsia="es-CL"/>
              </w:rPr>
              <w:t>jun-21</w:t>
            </w:r>
          </w:p>
        </w:tc>
      </w:tr>
      <w:tr w:rsidR="00A66D21" w:rsidRPr="00A66D21" w14:paraId="17DEE34B" w14:textId="77777777" w:rsidTr="007604E9">
        <w:trPr>
          <w:trHeight w:val="480"/>
          <w:jc w:val="center"/>
        </w:trPr>
        <w:tc>
          <w:tcPr>
            <w:tcW w:w="2618" w:type="dxa"/>
            <w:tcBorders>
              <w:top w:val="nil"/>
              <w:left w:val="nil"/>
              <w:bottom w:val="dotted" w:sz="4" w:space="0" w:color="BB1823"/>
              <w:right w:val="single" w:sz="12" w:space="0" w:color="FFFFFF"/>
            </w:tcBorders>
            <w:shd w:val="clear" w:color="000000" w:fill="FFFFFF"/>
            <w:vAlign w:val="center"/>
            <w:hideMark/>
          </w:tcPr>
          <w:p w14:paraId="3D183345"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Margen Bruto (%)</w:t>
            </w:r>
          </w:p>
        </w:tc>
        <w:tc>
          <w:tcPr>
            <w:tcW w:w="1200" w:type="dxa"/>
            <w:tcBorders>
              <w:top w:val="nil"/>
              <w:left w:val="nil"/>
              <w:bottom w:val="dotted" w:sz="4" w:space="0" w:color="BB1823"/>
              <w:right w:val="single" w:sz="12" w:space="0" w:color="FFFFFF"/>
            </w:tcBorders>
            <w:shd w:val="clear" w:color="000000" w:fill="FFFFFF"/>
            <w:vAlign w:val="center"/>
            <w:hideMark/>
          </w:tcPr>
          <w:p w14:paraId="6473C072"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38,36%</w:t>
            </w:r>
          </w:p>
        </w:tc>
        <w:tc>
          <w:tcPr>
            <w:tcW w:w="1200" w:type="dxa"/>
            <w:tcBorders>
              <w:top w:val="nil"/>
              <w:left w:val="nil"/>
              <w:bottom w:val="dotted" w:sz="4" w:space="0" w:color="BB1823"/>
              <w:right w:val="single" w:sz="12" w:space="0" w:color="FFFFFF"/>
            </w:tcBorders>
            <w:shd w:val="clear" w:color="000000" w:fill="FFFFFF"/>
            <w:vAlign w:val="center"/>
            <w:hideMark/>
          </w:tcPr>
          <w:p w14:paraId="47AAC236"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39,17%</w:t>
            </w:r>
          </w:p>
        </w:tc>
        <w:tc>
          <w:tcPr>
            <w:tcW w:w="1200" w:type="dxa"/>
            <w:tcBorders>
              <w:top w:val="nil"/>
              <w:left w:val="nil"/>
              <w:bottom w:val="dotted" w:sz="4" w:space="0" w:color="BB1823"/>
              <w:right w:val="single" w:sz="12" w:space="0" w:color="FFFFFF"/>
            </w:tcBorders>
            <w:shd w:val="clear" w:color="000000" w:fill="FFFFFF"/>
            <w:vAlign w:val="center"/>
            <w:hideMark/>
          </w:tcPr>
          <w:p w14:paraId="7CE9619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41,71%</w:t>
            </w:r>
          </w:p>
        </w:tc>
        <w:tc>
          <w:tcPr>
            <w:tcW w:w="1200" w:type="dxa"/>
            <w:tcBorders>
              <w:top w:val="nil"/>
              <w:left w:val="nil"/>
              <w:bottom w:val="dotted" w:sz="4" w:space="0" w:color="BB1823"/>
              <w:right w:val="single" w:sz="12" w:space="0" w:color="FFFFFF"/>
            </w:tcBorders>
            <w:shd w:val="clear" w:color="000000" w:fill="FFFFFF"/>
            <w:vAlign w:val="center"/>
            <w:hideMark/>
          </w:tcPr>
          <w:p w14:paraId="2050CA4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41,32%</w:t>
            </w:r>
          </w:p>
        </w:tc>
        <w:tc>
          <w:tcPr>
            <w:tcW w:w="1200" w:type="dxa"/>
            <w:tcBorders>
              <w:top w:val="nil"/>
              <w:left w:val="nil"/>
              <w:bottom w:val="dotted" w:sz="4" w:space="0" w:color="BB1823"/>
              <w:right w:val="single" w:sz="12" w:space="0" w:color="FFFFFF"/>
            </w:tcBorders>
            <w:shd w:val="clear" w:color="000000" w:fill="FFFFFF"/>
            <w:vAlign w:val="center"/>
            <w:hideMark/>
          </w:tcPr>
          <w:p w14:paraId="566BB352"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40,41%</w:t>
            </w:r>
          </w:p>
        </w:tc>
        <w:tc>
          <w:tcPr>
            <w:tcW w:w="1200" w:type="dxa"/>
            <w:tcBorders>
              <w:top w:val="nil"/>
              <w:left w:val="nil"/>
              <w:bottom w:val="dotted" w:sz="4" w:space="0" w:color="BB1823"/>
              <w:right w:val="single" w:sz="12" w:space="0" w:color="FFFFFF"/>
            </w:tcBorders>
            <w:shd w:val="clear" w:color="000000" w:fill="FFFFFF"/>
            <w:vAlign w:val="center"/>
            <w:hideMark/>
          </w:tcPr>
          <w:p w14:paraId="7CCB21DC"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40,68%</w:t>
            </w:r>
          </w:p>
        </w:tc>
      </w:tr>
      <w:tr w:rsidR="00A66D21" w:rsidRPr="00A66D21" w14:paraId="4CE7F697" w14:textId="77777777" w:rsidTr="007604E9">
        <w:trPr>
          <w:trHeight w:val="480"/>
          <w:jc w:val="center"/>
        </w:trPr>
        <w:tc>
          <w:tcPr>
            <w:tcW w:w="2618" w:type="dxa"/>
            <w:tcBorders>
              <w:top w:val="nil"/>
              <w:left w:val="nil"/>
              <w:bottom w:val="dotted" w:sz="4" w:space="0" w:color="BB1823"/>
              <w:right w:val="single" w:sz="12" w:space="0" w:color="FFFFFF"/>
            </w:tcBorders>
            <w:shd w:val="clear" w:color="000000" w:fill="FFFFFF"/>
            <w:vAlign w:val="center"/>
            <w:hideMark/>
          </w:tcPr>
          <w:p w14:paraId="5CC27D26"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Margen Neto (%)</w:t>
            </w:r>
          </w:p>
        </w:tc>
        <w:tc>
          <w:tcPr>
            <w:tcW w:w="1200" w:type="dxa"/>
            <w:tcBorders>
              <w:top w:val="nil"/>
              <w:left w:val="nil"/>
              <w:bottom w:val="dotted" w:sz="4" w:space="0" w:color="BB1823"/>
              <w:right w:val="single" w:sz="12" w:space="0" w:color="FFFFFF"/>
            </w:tcBorders>
            <w:shd w:val="clear" w:color="000000" w:fill="FFFFFF"/>
            <w:vAlign w:val="center"/>
            <w:hideMark/>
          </w:tcPr>
          <w:p w14:paraId="2C4810E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9,02%</w:t>
            </w:r>
          </w:p>
        </w:tc>
        <w:tc>
          <w:tcPr>
            <w:tcW w:w="1200" w:type="dxa"/>
            <w:tcBorders>
              <w:top w:val="nil"/>
              <w:left w:val="nil"/>
              <w:bottom w:val="dotted" w:sz="4" w:space="0" w:color="BB1823"/>
              <w:right w:val="single" w:sz="12" w:space="0" w:color="FFFFFF"/>
            </w:tcBorders>
            <w:shd w:val="clear" w:color="000000" w:fill="FFFFFF"/>
            <w:vAlign w:val="center"/>
            <w:hideMark/>
          </w:tcPr>
          <w:p w14:paraId="63BCDEDB"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4,08%</w:t>
            </w:r>
          </w:p>
        </w:tc>
        <w:tc>
          <w:tcPr>
            <w:tcW w:w="1200" w:type="dxa"/>
            <w:tcBorders>
              <w:top w:val="nil"/>
              <w:left w:val="nil"/>
              <w:bottom w:val="dotted" w:sz="4" w:space="0" w:color="BB1823"/>
              <w:right w:val="single" w:sz="12" w:space="0" w:color="FFFFFF"/>
            </w:tcBorders>
            <w:shd w:val="clear" w:color="000000" w:fill="FFFFFF"/>
            <w:vAlign w:val="center"/>
            <w:hideMark/>
          </w:tcPr>
          <w:p w14:paraId="5FBE6434"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2,60%</w:t>
            </w:r>
          </w:p>
        </w:tc>
        <w:tc>
          <w:tcPr>
            <w:tcW w:w="1200" w:type="dxa"/>
            <w:tcBorders>
              <w:top w:val="nil"/>
              <w:left w:val="nil"/>
              <w:bottom w:val="dotted" w:sz="4" w:space="0" w:color="BB1823"/>
              <w:right w:val="single" w:sz="12" w:space="0" w:color="FFFFFF"/>
            </w:tcBorders>
            <w:shd w:val="clear" w:color="000000" w:fill="FFFFFF"/>
            <w:vAlign w:val="center"/>
            <w:hideMark/>
          </w:tcPr>
          <w:p w14:paraId="2617074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1,76%</w:t>
            </w:r>
          </w:p>
        </w:tc>
        <w:tc>
          <w:tcPr>
            <w:tcW w:w="1200" w:type="dxa"/>
            <w:tcBorders>
              <w:top w:val="nil"/>
              <w:left w:val="nil"/>
              <w:bottom w:val="dotted" w:sz="4" w:space="0" w:color="BB1823"/>
              <w:right w:val="single" w:sz="12" w:space="0" w:color="FFFFFF"/>
            </w:tcBorders>
            <w:shd w:val="clear" w:color="000000" w:fill="FFFFFF"/>
            <w:vAlign w:val="center"/>
            <w:hideMark/>
          </w:tcPr>
          <w:p w14:paraId="5C7E9684"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4,14%</w:t>
            </w:r>
          </w:p>
        </w:tc>
        <w:tc>
          <w:tcPr>
            <w:tcW w:w="1200" w:type="dxa"/>
            <w:tcBorders>
              <w:top w:val="nil"/>
              <w:left w:val="nil"/>
              <w:bottom w:val="dotted" w:sz="4" w:space="0" w:color="BB1823"/>
              <w:right w:val="single" w:sz="12" w:space="0" w:color="FFFFFF"/>
            </w:tcBorders>
            <w:shd w:val="clear" w:color="000000" w:fill="FFFFFF"/>
            <w:vAlign w:val="center"/>
            <w:hideMark/>
          </w:tcPr>
          <w:p w14:paraId="7F61257C"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12,61%</w:t>
            </w:r>
          </w:p>
        </w:tc>
      </w:tr>
      <w:tr w:rsidR="00A66D21" w:rsidRPr="00A66D21" w14:paraId="472996FE" w14:textId="77777777" w:rsidTr="007604E9">
        <w:trPr>
          <w:trHeight w:val="480"/>
          <w:jc w:val="center"/>
        </w:trPr>
        <w:tc>
          <w:tcPr>
            <w:tcW w:w="2618" w:type="dxa"/>
            <w:tcBorders>
              <w:top w:val="nil"/>
              <w:left w:val="nil"/>
              <w:bottom w:val="dotted" w:sz="4" w:space="0" w:color="BB1823"/>
              <w:right w:val="single" w:sz="12" w:space="0" w:color="FFFFFF"/>
            </w:tcBorders>
            <w:shd w:val="clear" w:color="000000" w:fill="FFFFFF"/>
            <w:vAlign w:val="center"/>
            <w:hideMark/>
          </w:tcPr>
          <w:p w14:paraId="79EBD219"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 xml:space="preserve">Rotación del Activo (%) </w:t>
            </w:r>
          </w:p>
        </w:tc>
        <w:tc>
          <w:tcPr>
            <w:tcW w:w="1200" w:type="dxa"/>
            <w:tcBorders>
              <w:top w:val="nil"/>
              <w:left w:val="nil"/>
              <w:bottom w:val="dotted" w:sz="4" w:space="0" w:color="BB1823"/>
              <w:right w:val="single" w:sz="12" w:space="0" w:color="FFFFFF"/>
            </w:tcBorders>
            <w:shd w:val="clear" w:color="000000" w:fill="FFFFFF"/>
            <w:vAlign w:val="center"/>
            <w:hideMark/>
          </w:tcPr>
          <w:p w14:paraId="66E801B7"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138,10%</w:t>
            </w:r>
          </w:p>
        </w:tc>
        <w:tc>
          <w:tcPr>
            <w:tcW w:w="1200" w:type="dxa"/>
            <w:tcBorders>
              <w:top w:val="nil"/>
              <w:left w:val="nil"/>
              <w:bottom w:val="dotted" w:sz="4" w:space="0" w:color="BB1823"/>
              <w:right w:val="single" w:sz="12" w:space="0" w:color="FFFFFF"/>
            </w:tcBorders>
            <w:shd w:val="clear" w:color="000000" w:fill="FFFFFF"/>
            <w:vAlign w:val="center"/>
            <w:hideMark/>
          </w:tcPr>
          <w:p w14:paraId="6D96B467"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125,65%</w:t>
            </w:r>
          </w:p>
        </w:tc>
        <w:tc>
          <w:tcPr>
            <w:tcW w:w="1200" w:type="dxa"/>
            <w:tcBorders>
              <w:top w:val="nil"/>
              <w:left w:val="nil"/>
              <w:bottom w:val="dotted" w:sz="4" w:space="0" w:color="BB1823"/>
              <w:right w:val="single" w:sz="12" w:space="0" w:color="FFFFFF"/>
            </w:tcBorders>
            <w:shd w:val="clear" w:color="000000" w:fill="FFFFFF"/>
            <w:vAlign w:val="center"/>
            <w:hideMark/>
          </w:tcPr>
          <w:p w14:paraId="4993B4F9"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138,03%</w:t>
            </w:r>
          </w:p>
        </w:tc>
        <w:tc>
          <w:tcPr>
            <w:tcW w:w="1200" w:type="dxa"/>
            <w:tcBorders>
              <w:top w:val="nil"/>
              <w:left w:val="nil"/>
              <w:bottom w:val="dotted" w:sz="4" w:space="0" w:color="BB1823"/>
              <w:right w:val="single" w:sz="12" w:space="0" w:color="FFFFFF"/>
            </w:tcBorders>
            <w:shd w:val="clear" w:color="000000" w:fill="FFFFFF"/>
            <w:vAlign w:val="center"/>
            <w:hideMark/>
          </w:tcPr>
          <w:p w14:paraId="4292A17A"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91,28%</w:t>
            </w:r>
          </w:p>
        </w:tc>
        <w:tc>
          <w:tcPr>
            <w:tcW w:w="1200" w:type="dxa"/>
            <w:tcBorders>
              <w:top w:val="nil"/>
              <w:left w:val="nil"/>
              <w:bottom w:val="dotted" w:sz="4" w:space="0" w:color="BB1823"/>
              <w:right w:val="single" w:sz="12" w:space="0" w:color="FFFFFF"/>
            </w:tcBorders>
            <w:shd w:val="clear" w:color="000000" w:fill="FFFFFF"/>
            <w:vAlign w:val="center"/>
            <w:hideMark/>
          </w:tcPr>
          <w:p w14:paraId="0E49AA2D"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90,27%</w:t>
            </w:r>
          </w:p>
        </w:tc>
        <w:tc>
          <w:tcPr>
            <w:tcW w:w="1200" w:type="dxa"/>
            <w:tcBorders>
              <w:top w:val="nil"/>
              <w:left w:val="nil"/>
              <w:bottom w:val="dotted" w:sz="4" w:space="0" w:color="BB1823"/>
              <w:right w:val="single" w:sz="12" w:space="0" w:color="FFFFFF"/>
            </w:tcBorders>
            <w:shd w:val="clear" w:color="000000" w:fill="FFFFFF"/>
            <w:vAlign w:val="center"/>
            <w:hideMark/>
          </w:tcPr>
          <w:p w14:paraId="3B12468E"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99,47%</w:t>
            </w:r>
          </w:p>
        </w:tc>
      </w:tr>
      <w:tr w:rsidR="00A66D21" w:rsidRPr="00A66D21" w14:paraId="5B06E351" w14:textId="77777777" w:rsidTr="00991767">
        <w:trPr>
          <w:trHeight w:val="554"/>
          <w:jc w:val="center"/>
        </w:trPr>
        <w:tc>
          <w:tcPr>
            <w:tcW w:w="2618" w:type="dxa"/>
            <w:tcBorders>
              <w:top w:val="nil"/>
              <w:left w:val="nil"/>
              <w:bottom w:val="dotted" w:sz="4" w:space="0" w:color="BB1823"/>
              <w:right w:val="single" w:sz="12" w:space="0" w:color="FFFFFF"/>
            </w:tcBorders>
            <w:shd w:val="clear" w:color="000000" w:fill="FFFFFF"/>
            <w:vAlign w:val="center"/>
            <w:hideMark/>
          </w:tcPr>
          <w:p w14:paraId="21926D36"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Rentabilidad Total del Activo (%) *</w:t>
            </w:r>
          </w:p>
        </w:tc>
        <w:tc>
          <w:tcPr>
            <w:tcW w:w="1200" w:type="dxa"/>
            <w:tcBorders>
              <w:top w:val="nil"/>
              <w:left w:val="nil"/>
              <w:bottom w:val="dotted" w:sz="4" w:space="0" w:color="BB1823"/>
              <w:right w:val="single" w:sz="12" w:space="0" w:color="FFFFFF"/>
            </w:tcBorders>
            <w:shd w:val="clear" w:color="000000" w:fill="FFFFFF"/>
            <w:vAlign w:val="center"/>
            <w:hideMark/>
          </w:tcPr>
          <w:p w14:paraId="0974696B"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12,46%</w:t>
            </w:r>
          </w:p>
        </w:tc>
        <w:tc>
          <w:tcPr>
            <w:tcW w:w="1200" w:type="dxa"/>
            <w:tcBorders>
              <w:top w:val="nil"/>
              <w:left w:val="nil"/>
              <w:bottom w:val="dotted" w:sz="4" w:space="0" w:color="BB1823"/>
              <w:right w:val="single" w:sz="12" w:space="0" w:color="FFFFFF"/>
            </w:tcBorders>
            <w:shd w:val="clear" w:color="000000" w:fill="FFFFFF"/>
            <w:vAlign w:val="center"/>
            <w:hideMark/>
          </w:tcPr>
          <w:p w14:paraId="51FCD53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5,16%</w:t>
            </w:r>
          </w:p>
        </w:tc>
        <w:tc>
          <w:tcPr>
            <w:tcW w:w="1200" w:type="dxa"/>
            <w:tcBorders>
              <w:top w:val="nil"/>
              <w:left w:val="nil"/>
              <w:bottom w:val="dotted" w:sz="4" w:space="0" w:color="BB1823"/>
              <w:right w:val="single" w:sz="12" w:space="0" w:color="FFFFFF"/>
            </w:tcBorders>
            <w:shd w:val="clear" w:color="000000" w:fill="FFFFFF"/>
            <w:vAlign w:val="center"/>
            <w:hideMark/>
          </w:tcPr>
          <w:p w14:paraId="6B8C39F4"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3,61%</w:t>
            </w:r>
          </w:p>
        </w:tc>
        <w:tc>
          <w:tcPr>
            <w:tcW w:w="1200" w:type="dxa"/>
            <w:tcBorders>
              <w:top w:val="nil"/>
              <w:left w:val="nil"/>
              <w:bottom w:val="dotted" w:sz="4" w:space="0" w:color="BB1823"/>
              <w:right w:val="single" w:sz="12" w:space="0" w:color="FFFFFF"/>
            </w:tcBorders>
            <w:shd w:val="clear" w:color="000000" w:fill="FFFFFF"/>
            <w:vAlign w:val="center"/>
            <w:hideMark/>
          </w:tcPr>
          <w:p w14:paraId="7D982E76"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2,01%</w:t>
            </w:r>
          </w:p>
        </w:tc>
        <w:tc>
          <w:tcPr>
            <w:tcW w:w="1200" w:type="dxa"/>
            <w:tcBorders>
              <w:top w:val="nil"/>
              <w:left w:val="nil"/>
              <w:bottom w:val="dotted" w:sz="4" w:space="0" w:color="BB1823"/>
              <w:right w:val="single" w:sz="12" w:space="0" w:color="FFFFFF"/>
            </w:tcBorders>
            <w:shd w:val="clear" w:color="000000" w:fill="FFFFFF"/>
            <w:vAlign w:val="center"/>
            <w:hideMark/>
          </w:tcPr>
          <w:p w14:paraId="523B699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3,78%</w:t>
            </w:r>
          </w:p>
        </w:tc>
        <w:tc>
          <w:tcPr>
            <w:tcW w:w="1200" w:type="dxa"/>
            <w:tcBorders>
              <w:top w:val="nil"/>
              <w:left w:val="nil"/>
              <w:bottom w:val="dotted" w:sz="4" w:space="0" w:color="BB1823"/>
              <w:right w:val="single" w:sz="12" w:space="0" w:color="FFFFFF"/>
            </w:tcBorders>
            <w:shd w:val="clear" w:color="000000" w:fill="FFFFFF"/>
            <w:vAlign w:val="center"/>
            <w:hideMark/>
          </w:tcPr>
          <w:p w14:paraId="4C4DAD87"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13,62%</w:t>
            </w:r>
          </w:p>
        </w:tc>
      </w:tr>
      <w:tr w:rsidR="00A66D21" w:rsidRPr="00A66D21" w14:paraId="1ACAE7F5" w14:textId="77777777" w:rsidTr="00991767">
        <w:trPr>
          <w:trHeight w:val="548"/>
          <w:jc w:val="center"/>
        </w:trPr>
        <w:tc>
          <w:tcPr>
            <w:tcW w:w="2618" w:type="dxa"/>
            <w:tcBorders>
              <w:top w:val="nil"/>
              <w:left w:val="nil"/>
              <w:bottom w:val="dotted" w:sz="4" w:space="0" w:color="BB1823"/>
              <w:right w:val="single" w:sz="12" w:space="0" w:color="FFFFFF"/>
            </w:tcBorders>
            <w:shd w:val="clear" w:color="000000" w:fill="FFFFFF"/>
            <w:vAlign w:val="center"/>
            <w:hideMark/>
          </w:tcPr>
          <w:p w14:paraId="324B7B02"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Rentabilidad Total del Activo (%)</w:t>
            </w:r>
          </w:p>
        </w:tc>
        <w:tc>
          <w:tcPr>
            <w:tcW w:w="1200" w:type="dxa"/>
            <w:tcBorders>
              <w:top w:val="nil"/>
              <w:left w:val="nil"/>
              <w:bottom w:val="dotted" w:sz="4" w:space="0" w:color="BB1823"/>
              <w:right w:val="single" w:sz="12" w:space="0" w:color="FFFFFF"/>
            </w:tcBorders>
            <w:shd w:val="clear" w:color="000000" w:fill="FFFFFF"/>
            <w:vAlign w:val="center"/>
            <w:hideMark/>
          </w:tcPr>
          <w:p w14:paraId="14BADABD"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12,46%</w:t>
            </w:r>
          </w:p>
        </w:tc>
        <w:tc>
          <w:tcPr>
            <w:tcW w:w="1200" w:type="dxa"/>
            <w:tcBorders>
              <w:top w:val="nil"/>
              <w:left w:val="nil"/>
              <w:bottom w:val="dotted" w:sz="4" w:space="0" w:color="BB1823"/>
              <w:right w:val="single" w:sz="12" w:space="0" w:color="FFFFFF"/>
            </w:tcBorders>
            <w:shd w:val="clear" w:color="000000" w:fill="FFFFFF"/>
            <w:vAlign w:val="center"/>
            <w:hideMark/>
          </w:tcPr>
          <w:p w14:paraId="5F66446C"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5,16%</w:t>
            </w:r>
          </w:p>
        </w:tc>
        <w:tc>
          <w:tcPr>
            <w:tcW w:w="1200" w:type="dxa"/>
            <w:tcBorders>
              <w:top w:val="nil"/>
              <w:left w:val="nil"/>
              <w:bottom w:val="dotted" w:sz="4" w:space="0" w:color="BB1823"/>
              <w:right w:val="single" w:sz="12" w:space="0" w:color="FFFFFF"/>
            </w:tcBorders>
            <w:shd w:val="clear" w:color="000000" w:fill="FFFFFF"/>
            <w:vAlign w:val="center"/>
            <w:hideMark/>
          </w:tcPr>
          <w:p w14:paraId="715BD32D"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3,61%</w:t>
            </w:r>
          </w:p>
        </w:tc>
        <w:tc>
          <w:tcPr>
            <w:tcW w:w="1200" w:type="dxa"/>
            <w:tcBorders>
              <w:top w:val="nil"/>
              <w:left w:val="nil"/>
              <w:bottom w:val="dotted" w:sz="4" w:space="0" w:color="BB1823"/>
              <w:right w:val="single" w:sz="12" w:space="0" w:color="FFFFFF"/>
            </w:tcBorders>
            <w:shd w:val="clear" w:color="000000" w:fill="FFFFFF"/>
            <w:vAlign w:val="center"/>
            <w:hideMark/>
          </w:tcPr>
          <w:p w14:paraId="6AC14D6C"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2,01%</w:t>
            </w:r>
          </w:p>
        </w:tc>
        <w:tc>
          <w:tcPr>
            <w:tcW w:w="1200" w:type="dxa"/>
            <w:tcBorders>
              <w:top w:val="nil"/>
              <w:left w:val="nil"/>
              <w:bottom w:val="dotted" w:sz="4" w:space="0" w:color="BB1823"/>
              <w:right w:val="single" w:sz="12" w:space="0" w:color="FFFFFF"/>
            </w:tcBorders>
            <w:shd w:val="clear" w:color="000000" w:fill="FFFFFF"/>
            <w:vAlign w:val="center"/>
            <w:hideMark/>
          </w:tcPr>
          <w:p w14:paraId="14C40D9E"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3,78%</w:t>
            </w:r>
          </w:p>
        </w:tc>
        <w:tc>
          <w:tcPr>
            <w:tcW w:w="1200" w:type="dxa"/>
            <w:tcBorders>
              <w:top w:val="nil"/>
              <w:left w:val="nil"/>
              <w:bottom w:val="dotted" w:sz="4" w:space="0" w:color="BB1823"/>
              <w:right w:val="single" w:sz="12" w:space="0" w:color="FFFFFF"/>
            </w:tcBorders>
            <w:shd w:val="clear" w:color="000000" w:fill="FFFFFF"/>
            <w:vAlign w:val="center"/>
            <w:hideMark/>
          </w:tcPr>
          <w:p w14:paraId="404B10A9"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13,62%</w:t>
            </w:r>
          </w:p>
        </w:tc>
      </w:tr>
      <w:tr w:rsidR="00A66D21" w:rsidRPr="00A66D21" w14:paraId="111629BC" w14:textId="77777777" w:rsidTr="007604E9">
        <w:trPr>
          <w:trHeight w:val="480"/>
          <w:jc w:val="center"/>
        </w:trPr>
        <w:tc>
          <w:tcPr>
            <w:tcW w:w="2618" w:type="dxa"/>
            <w:tcBorders>
              <w:top w:val="nil"/>
              <w:left w:val="nil"/>
              <w:bottom w:val="dotted" w:sz="4" w:space="0" w:color="BB1823"/>
              <w:right w:val="single" w:sz="12" w:space="0" w:color="FFFFFF"/>
            </w:tcBorders>
            <w:shd w:val="clear" w:color="000000" w:fill="FFFFFF"/>
            <w:vAlign w:val="center"/>
            <w:hideMark/>
          </w:tcPr>
          <w:p w14:paraId="75315D32"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Inversión de Capital (%)</w:t>
            </w:r>
          </w:p>
        </w:tc>
        <w:tc>
          <w:tcPr>
            <w:tcW w:w="1200" w:type="dxa"/>
            <w:tcBorders>
              <w:top w:val="nil"/>
              <w:left w:val="nil"/>
              <w:bottom w:val="dotted" w:sz="4" w:space="0" w:color="BB1823"/>
              <w:right w:val="single" w:sz="12" w:space="0" w:color="FFFFFF"/>
            </w:tcBorders>
            <w:shd w:val="clear" w:color="000000" w:fill="FFFFFF"/>
            <w:vAlign w:val="center"/>
            <w:hideMark/>
          </w:tcPr>
          <w:p w14:paraId="01D1340A"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11,62%</w:t>
            </w:r>
          </w:p>
        </w:tc>
        <w:tc>
          <w:tcPr>
            <w:tcW w:w="1200" w:type="dxa"/>
            <w:tcBorders>
              <w:top w:val="nil"/>
              <w:left w:val="nil"/>
              <w:bottom w:val="dotted" w:sz="4" w:space="0" w:color="BB1823"/>
              <w:right w:val="single" w:sz="12" w:space="0" w:color="FFFFFF"/>
            </w:tcBorders>
            <w:shd w:val="clear" w:color="000000" w:fill="FFFFFF"/>
            <w:vAlign w:val="center"/>
            <w:hideMark/>
          </w:tcPr>
          <w:p w14:paraId="51C61443"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11,69%</w:t>
            </w:r>
          </w:p>
        </w:tc>
        <w:tc>
          <w:tcPr>
            <w:tcW w:w="1200" w:type="dxa"/>
            <w:tcBorders>
              <w:top w:val="nil"/>
              <w:left w:val="nil"/>
              <w:bottom w:val="dotted" w:sz="4" w:space="0" w:color="BB1823"/>
              <w:right w:val="single" w:sz="12" w:space="0" w:color="FFFFFF"/>
            </w:tcBorders>
            <w:shd w:val="clear" w:color="000000" w:fill="FFFFFF"/>
            <w:vAlign w:val="center"/>
            <w:hideMark/>
          </w:tcPr>
          <w:p w14:paraId="370423C3"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11,59%</w:t>
            </w:r>
          </w:p>
        </w:tc>
        <w:tc>
          <w:tcPr>
            <w:tcW w:w="1200" w:type="dxa"/>
            <w:tcBorders>
              <w:top w:val="nil"/>
              <w:left w:val="nil"/>
              <w:bottom w:val="dotted" w:sz="4" w:space="0" w:color="BB1823"/>
              <w:right w:val="single" w:sz="12" w:space="0" w:color="FFFFFF"/>
            </w:tcBorders>
            <w:shd w:val="clear" w:color="000000" w:fill="FFFFFF"/>
            <w:vAlign w:val="center"/>
            <w:hideMark/>
          </w:tcPr>
          <w:p w14:paraId="34DCBD04"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10,81%</w:t>
            </w:r>
          </w:p>
        </w:tc>
        <w:tc>
          <w:tcPr>
            <w:tcW w:w="1200" w:type="dxa"/>
            <w:tcBorders>
              <w:top w:val="nil"/>
              <w:left w:val="nil"/>
              <w:bottom w:val="dotted" w:sz="4" w:space="0" w:color="BB1823"/>
              <w:right w:val="single" w:sz="12" w:space="0" w:color="FFFFFF"/>
            </w:tcBorders>
            <w:shd w:val="clear" w:color="000000" w:fill="FFFFFF"/>
            <w:vAlign w:val="center"/>
            <w:hideMark/>
          </w:tcPr>
          <w:p w14:paraId="134C1FBE"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13,73%</w:t>
            </w:r>
          </w:p>
        </w:tc>
        <w:tc>
          <w:tcPr>
            <w:tcW w:w="1200" w:type="dxa"/>
            <w:tcBorders>
              <w:top w:val="nil"/>
              <w:left w:val="nil"/>
              <w:bottom w:val="dotted" w:sz="4" w:space="0" w:color="BB1823"/>
              <w:right w:val="single" w:sz="12" w:space="0" w:color="FFFFFF"/>
            </w:tcBorders>
            <w:shd w:val="clear" w:color="000000" w:fill="FFFFFF"/>
            <w:vAlign w:val="center"/>
            <w:hideMark/>
          </w:tcPr>
          <w:p w14:paraId="6A6A74F7"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10,75%</w:t>
            </w:r>
          </w:p>
        </w:tc>
      </w:tr>
      <w:tr w:rsidR="00A66D21" w:rsidRPr="00A66D21" w14:paraId="5704E8A9" w14:textId="77777777" w:rsidTr="00991767">
        <w:trPr>
          <w:trHeight w:val="632"/>
          <w:jc w:val="center"/>
        </w:trPr>
        <w:tc>
          <w:tcPr>
            <w:tcW w:w="2618" w:type="dxa"/>
            <w:tcBorders>
              <w:top w:val="nil"/>
              <w:left w:val="nil"/>
              <w:bottom w:val="dotted" w:sz="4" w:space="0" w:color="BB1823"/>
              <w:right w:val="single" w:sz="12" w:space="0" w:color="FFFFFF"/>
            </w:tcBorders>
            <w:shd w:val="clear" w:color="000000" w:fill="FFFFFF"/>
            <w:vAlign w:val="center"/>
            <w:hideMark/>
          </w:tcPr>
          <w:p w14:paraId="1A4BCA65"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Ingresos por Capital de Trabajo (veces)</w:t>
            </w:r>
          </w:p>
        </w:tc>
        <w:tc>
          <w:tcPr>
            <w:tcW w:w="1200" w:type="dxa"/>
            <w:tcBorders>
              <w:top w:val="nil"/>
              <w:left w:val="nil"/>
              <w:bottom w:val="dotted" w:sz="4" w:space="0" w:color="BB1823"/>
              <w:right w:val="single" w:sz="12" w:space="0" w:color="FFFFFF"/>
            </w:tcBorders>
            <w:shd w:val="clear" w:color="000000" w:fill="FFFFFF"/>
            <w:vAlign w:val="center"/>
            <w:hideMark/>
          </w:tcPr>
          <w:p w14:paraId="68A047E6"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367,67%</w:t>
            </w:r>
          </w:p>
        </w:tc>
        <w:tc>
          <w:tcPr>
            <w:tcW w:w="1200" w:type="dxa"/>
            <w:tcBorders>
              <w:top w:val="nil"/>
              <w:left w:val="nil"/>
              <w:bottom w:val="dotted" w:sz="4" w:space="0" w:color="BB1823"/>
              <w:right w:val="single" w:sz="12" w:space="0" w:color="FFFFFF"/>
            </w:tcBorders>
            <w:shd w:val="clear" w:color="000000" w:fill="FFFFFF"/>
            <w:vAlign w:val="center"/>
            <w:hideMark/>
          </w:tcPr>
          <w:p w14:paraId="67F34022"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367,69%</w:t>
            </w:r>
          </w:p>
        </w:tc>
        <w:tc>
          <w:tcPr>
            <w:tcW w:w="1200" w:type="dxa"/>
            <w:tcBorders>
              <w:top w:val="nil"/>
              <w:left w:val="nil"/>
              <w:bottom w:val="dotted" w:sz="4" w:space="0" w:color="BB1823"/>
              <w:right w:val="single" w:sz="12" w:space="0" w:color="FFFFFF"/>
            </w:tcBorders>
            <w:shd w:val="clear" w:color="000000" w:fill="FFFFFF"/>
            <w:vAlign w:val="center"/>
            <w:hideMark/>
          </w:tcPr>
          <w:p w14:paraId="79F042AC"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402,34%</w:t>
            </w:r>
          </w:p>
        </w:tc>
        <w:tc>
          <w:tcPr>
            <w:tcW w:w="1200" w:type="dxa"/>
            <w:tcBorders>
              <w:top w:val="nil"/>
              <w:left w:val="nil"/>
              <w:bottom w:val="dotted" w:sz="4" w:space="0" w:color="BB1823"/>
              <w:right w:val="single" w:sz="12" w:space="0" w:color="FFFFFF"/>
            </w:tcBorders>
            <w:shd w:val="clear" w:color="000000" w:fill="FFFFFF"/>
            <w:vAlign w:val="center"/>
            <w:hideMark/>
          </w:tcPr>
          <w:p w14:paraId="113AB706"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383,15%</w:t>
            </w:r>
          </w:p>
        </w:tc>
        <w:tc>
          <w:tcPr>
            <w:tcW w:w="1200" w:type="dxa"/>
            <w:tcBorders>
              <w:top w:val="nil"/>
              <w:left w:val="nil"/>
              <w:bottom w:val="dotted" w:sz="4" w:space="0" w:color="BB1823"/>
              <w:right w:val="single" w:sz="12" w:space="0" w:color="FFFFFF"/>
            </w:tcBorders>
            <w:shd w:val="clear" w:color="000000" w:fill="FFFFFF"/>
            <w:vAlign w:val="center"/>
            <w:hideMark/>
          </w:tcPr>
          <w:p w14:paraId="148C2272"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405,08%</w:t>
            </w:r>
          </w:p>
        </w:tc>
        <w:tc>
          <w:tcPr>
            <w:tcW w:w="1200" w:type="dxa"/>
            <w:tcBorders>
              <w:top w:val="nil"/>
              <w:left w:val="nil"/>
              <w:bottom w:val="dotted" w:sz="4" w:space="0" w:color="BB1823"/>
              <w:right w:val="single" w:sz="12" w:space="0" w:color="FFFFFF"/>
            </w:tcBorders>
            <w:shd w:val="clear" w:color="000000" w:fill="FFFFFF"/>
            <w:vAlign w:val="center"/>
            <w:hideMark/>
          </w:tcPr>
          <w:p w14:paraId="5F122AE8"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535,10%</w:t>
            </w:r>
          </w:p>
        </w:tc>
      </w:tr>
      <w:tr w:rsidR="00A66D21" w:rsidRPr="00A66D21" w14:paraId="195A1830" w14:textId="77777777" w:rsidTr="00991767">
        <w:trPr>
          <w:trHeight w:val="557"/>
          <w:jc w:val="center"/>
        </w:trPr>
        <w:tc>
          <w:tcPr>
            <w:tcW w:w="2618" w:type="dxa"/>
            <w:tcBorders>
              <w:top w:val="nil"/>
              <w:left w:val="nil"/>
              <w:bottom w:val="dotted" w:sz="4" w:space="0" w:color="BB1823"/>
              <w:right w:val="single" w:sz="12" w:space="0" w:color="FFFFFF"/>
            </w:tcBorders>
            <w:shd w:val="clear" w:color="000000" w:fill="FFFFFF"/>
            <w:vAlign w:val="center"/>
            <w:hideMark/>
          </w:tcPr>
          <w:p w14:paraId="725E8830"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Rentabilidad Operacional (%)</w:t>
            </w:r>
          </w:p>
        </w:tc>
        <w:tc>
          <w:tcPr>
            <w:tcW w:w="1200" w:type="dxa"/>
            <w:tcBorders>
              <w:top w:val="nil"/>
              <w:left w:val="nil"/>
              <w:bottom w:val="dotted" w:sz="4" w:space="0" w:color="BB1823"/>
              <w:right w:val="single" w:sz="12" w:space="0" w:color="FFFFFF"/>
            </w:tcBorders>
            <w:shd w:val="clear" w:color="000000" w:fill="FFFFFF"/>
            <w:vAlign w:val="center"/>
            <w:hideMark/>
          </w:tcPr>
          <w:p w14:paraId="2F9B8FC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16,14%</w:t>
            </w:r>
          </w:p>
        </w:tc>
        <w:tc>
          <w:tcPr>
            <w:tcW w:w="1200" w:type="dxa"/>
            <w:tcBorders>
              <w:top w:val="nil"/>
              <w:left w:val="nil"/>
              <w:bottom w:val="dotted" w:sz="4" w:space="0" w:color="BB1823"/>
              <w:right w:val="single" w:sz="12" w:space="0" w:color="FFFFFF"/>
            </w:tcBorders>
            <w:shd w:val="clear" w:color="000000" w:fill="FFFFFF"/>
            <w:vAlign w:val="center"/>
            <w:hideMark/>
          </w:tcPr>
          <w:p w14:paraId="7DE68B64"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5,84%</w:t>
            </w:r>
          </w:p>
        </w:tc>
        <w:tc>
          <w:tcPr>
            <w:tcW w:w="1200" w:type="dxa"/>
            <w:tcBorders>
              <w:top w:val="nil"/>
              <w:left w:val="nil"/>
              <w:bottom w:val="dotted" w:sz="4" w:space="0" w:color="BB1823"/>
              <w:right w:val="single" w:sz="12" w:space="0" w:color="FFFFFF"/>
            </w:tcBorders>
            <w:shd w:val="clear" w:color="000000" w:fill="FFFFFF"/>
            <w:vAlign w:val="center"/>
            <w:hideMark/>
          </w:tcPr>
          <w:p w14:paraId="107E88F2"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10,88%</w:t>
            </w:r>
          </w:p>
        </w:tc>
        <w:tc>
          <w:tcPr>
            <w:tcW w:w="1200" w:type="dxa"/>
            <w:tcBorders>
              <w:top w:val="nil"/>
              <w:left w:val="nil"/>
              <w:bottom w:val="dotted" w:sz="4" w:space="0" w:color="BB1823"/>
              <w:right w:val="single" w:sz="12" w:space="0" w:color="FFFFFF"/>
            </w:tcBorders>
            <w:shd w:val="clear" w:color="000000" w:fill="FFFFFF"/>
            <w:vAlign w:val="center"/>
            <w:hideMark/>
          </w:tcPr>
          <w:p w14:paraId="61586B14"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9,32%</w:t>
            </w:r>
          </w:p>
        </w:tc>
        <w:tc>
          <w:tcPr>
            <w:tcW w:w="1200" w:type="dxa"/>
            <w:tcBorders>
              <w:top w:val="nil"/>
              <w:left w:val="nil"/>
              <w:bottom w:val="dotted" w:sz="4" w:space="0" w:color="BB1823"/>
              <w:right w:val="single" w:sz="12" w:space="0" w:color="FFFFFF"/>
            </w:tcBorders>
            <w:shd w:val="clear" w:color="000000" w:fill="FFFFFF"/>
            <w:vAlign w:val="center"/>
            <w:hideMark/>
          </w:tcPr>
          <w:p w14:paraId="1810BCD4"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10,41%</w:t>
            </w:r>
          </w:p>
        </w:tc>
        <w:tc>
          <w:tcPr>
            <w:tcW w:w="1200" w:type="dxa"/>
            <w:tcBorders>
              <w:top w:val="nil"/>
              <w:left w:val="nil"/>
              <w:bottom w:val="dotted" w:sz="4" w:space="0" w:color="BB1823"/>
              <w:right w:val="single" w:sz="12" w:space="0" w:color="FFFFFF"/>
            </w:tcBorders>
            <w:shd w:val="clear" w:color="000000" w:fill="FFFFFF"/>
            <w:vAlign w:val="center"/>
            <w:hideMark/>
          </w:tcPr>
          <w:p w14:paraId="5528CD5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18,90%</w:t>
            </w:r>
          </w:p>
        </w:tc>
      </w:tr>
      <w:tr w:rsidR="00A66D21" w:rsidRPr="00A66D21" w14:paraId="5CEB565F" w14:textId="77777777" w:rsidTr="00991767">
        <w:trPr>
          <w:trHeight w:val="564"/>
          <w:jc w:val="center"/>
        </w:trPr>
        <w:tc>
          <w:tcPr>
            <w:tcW w:w="2618" w:type="dxa"/>
            <w:tcBorders>
              <w:top w:val="nil"/>
              <w:left w:val="nil"/>
              <w:bottom w:val="dotted" w:sz="4" w:space="0" w:color="BB1823"/>
              <w:right w:val="single" w:sz="12" w:space="0" w:color="FFFFFF"/>
            </w:tcBorders>
            <w:shd w:val="clear" w:color="000000" w:fill="FFFFFF"/>
            <w:vAlign w:val="center"/>
            <w:hideMark/>
          </w:tcPr>
          <w:p w14:paraId="305EA8E7"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Rentabilidad Sobre Patrimonio (%)</w:t>
            </w:r>
          </w:p>
        </w:tc>
        <w:tc>
          <w:tcPr>
            <w:tcW w:w="1200" w:type="dxa"/>
            <w:tcBorders>
              <w:top w:val="nil"/>
              <w:left w:val="nil"/>
              <w:bottom w:val="dotted" w:sz="4" w:space="0" w:color="BB1823"/>
              <w:right w:val="single" w:sz="12" w:space="0" w:color="FFFFFF"/>
            </w:tcBorders>
            <w:shd w:val="clear" w:color="000000" w:fill="FFFFFF"/>
            <w:vAlign w:val="center"/>
            <w:hideMark/>
          </w:tcPr>
          <w:p w14:paraId="3A8279FD"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33,18%</w:t>
            </w:r>
          </w:p>
        </w:tc>
        <w:tc>
          <w:tcPr>
            <w:tcW w:w="1200" w:type="dxa"/>
            <w:tcBorders>
              <w:top w:val="nil"/>
              <w:left w:val="nil"/>
              <w:bottom w:val="dotted" w:sz="4" w:space="0" w:color="BB1823"/>
              <w:right w:val="single" w:sz="12" w:space="0" w:color="FFFFFF"/>
            </w:tcBorders>
            <w:shd w:val="clear" w:color="000000" w:fill="FFFFFF"/>
            <w:vAlign w:val="center"/>
            <w:hideMark/>
          </w:tcPr>
          <w:p w14:paraId="3A8EB11B"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13,76%</w:t>
            </w:r>
          </w:p>
        </w:tc>
        <w:tc>
          <w:tcPr>
            <w:tcW w:w="1200" w:type="dxa"/>
            <w:tcBorders>
              <w:top w:val="nil"/>
              <w:left w:val="nil"/>
              <w:bottom w:val="dotted" w:sz="4" w:space="0" w:color="BB1823"/>
              <w:right w:val="single" w:sz="12" w:space="0" w:color="FFFFFF"/>
            </w:tcBorders>
            <w:shd w:val="clear" w:color="000000" w:fill="FFFFFF"/>
            <w:vAlign w:val="center"/>
            <w:hideMark/>
          </w:tcPr>
          <w:p w14:paraId="0F2D3C9E"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9,78%</w:t>
            </w:r>
          </w:p>
        </w:tc>
        <w:tc>
          <w:tcPr>
            <w:tcW w:w="1200" w:type="dxa"/>
            <w:tcBorders>
              <w:top w:val="nil"/>
              <w:left w:val="nil"/>
              <w:bottom w:val="dotted" w:sz="4" w:space="0" w:color="BB1823"/>
              <w:right w:val="single" w:sz="12" w:space="0" w:color="FFFFFF"/>
            </w:tcBorders>
            <w:shd w:val="clear" w:color="000000" w:fill="FFFFFF"/>
            <w:vAlign w:val="center"/>
            <w:hideMark/>
          </w:tcPr>
          <w:p w14:paraId="557B2AC6"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7,64%</w:t>
            </w:r>
          </w:p>
        </w:tc>
        <w:tc>
          <w:tcPr>
            <w:tcW w:w="1200" w:type="dxa"/>
            <w:tcBorders>
              <w:top w:val="nil"/>
              <w:left w:val="nil"/>
              <w:bottom w:val="dotted" w:sz="4" w:space="0" w:color="BB1823"/>
              <w:right w:val="single" w:sz="12" w:space="0" w:color="FFFFFF"/>
            </w:tcBorders>
            <w:shd w:val="clear" w:color="000000" w:fill="FFFFFF"/>
            <w:vAlign w:val="center"/>
            <w:hideMark/>
          </w:tcPr>
          <w:p w14:paraId="7124E2AA"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18,96%</w:t>
            </w:r>
          </w:p>
        </w:tc>
        <w:tc>
          <w:tcPr>
            <w:tcW w:w="1200" w:type="dxa"/>
            <w:tcBorders>
              <w:top w:val="nil"/>
              <w:left w:val="nil"/>
              <w:bottom w:val="dotted" w:sz="4" w:space="0" w:color="BB1823"/>
              <w:right w:val="single" w:sz="12" w:space="0" w:color="FFFFFF"/>
            </w:tcBorders>
            <w:shd w:val="clear" w:color="000000" w:fill="FFFFFF"/>
            <w:vAlign w:val="center"/>
            <w:hideMark/>
          </w:tcPr>
          <w:p w14:paraId="2F1893D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73,76%</w:t>
            </w:r>
          </w:p>
        </w:tc>
      </w:tr>
      <w:tr w:rsidR="00A66D21" w:rsidRPr="00A66D21" w14:paraId="34B6ECED" w14:textId="77777777" w:rsidTr="00991767">
        <w:trPr>
          <w:trHeight w:val="687"/>
          <w:jc w:val="center"/>
        </w:trPr>
        <w:tc>
          <w:tcPr>
            <w:tcW w:w="2618" w:type="dxa"/>
            <w:tcBorders>
              <w:top w:val="nil"/>
              <w:left w:val="nil"/>
              <w:bottom w:val="dotted" w:sz="4" w:space="0" w:color="BB1823"/>
              <w:right w:val="single" w:sz="12" w:space="0" w:color="FFFFFF"/>
            </w:tcBorders>
            <w:shd w:val="clear" w:color="000000" w:fill="FFFFFF"/>
            <w:vAlign w:val="center"/>
            <w:hideMark/>
          </w:tcPr>
          <w:p w14:paraId="4B5D631C" w14:textId="77777777" w:rsidR="00A66D21" w:rsidRPr="00A66D21" w:rsidRDefault="00A66D21" w:rsidP="00A66D21">
            <w:pPr>
              <w:rPr>
                <w:rFonts w:eastAsia="Times New Roman" w:cs="Calibri"/>
                <w:color w:val="333B68"/>
                <w:sz w:val="18"/>
                <w:szCs w:val="18"/>
                <w:lang w:eastAsia="es-CL"/>
              </w:rPr>
            </w:pPr>
            <w:proofErr w:type="spellStart"/>
            <w:r w:rsidRPr="00A66D21">
              <w:rPr>
                <w:rFonts w:eastAsia="Times New Roman" w:cs="Calibri"/>
                <w:color w:val="333B68"/>
                <w:sz w:val="18"/>
                <w:szCs w:val="18"/>
                <w:lang w:eastAsia="es-CL"/>
              </w:rPr>
              <w:t>Cto</w:t>
            </w:r>
            <w:proofErr w:type="spellEnd"/>
            <w:r w:rsidRPr="00A66D21">
              <w:rPr>
                <w:rFonts w:eastAsia="Times New Roman" w:cs="Calibri"/>
                <w:color w:val="333B68"/>
                <w:sz w:val="18"/>
                <w:szCs w:val="18"/>
                <w:lang w:eastAsia="es-CL"/>
              </w:rPr>
              <w:t xml:space="preserve">. de </w:t>
            </w:r>
            <w:proofErr w:type="spellStart"/>
            <w:r w:rsidRPr="00A66D21">
              <w:rPr>
                <w:rFonts w:eastAsia="Times New Roman" w:cs="Calibri"/>
                <w:color w:val="333B68"/>
                <w:sz w:val="18"/>
                <w:szCs w:val="18"/>
                <w:lang w:eastAsia="es-CL"/>
              </w:rPr>
              <w:t>Exp</w:t>
            </w:r>
            <w:proofErr w:type="spellEnd"/>
            <w:r w:rsidRPr="00A66D21">
              <w:rPr>
                <w:rFonts w:eastAsia="Times New Roman" w:cs="Calibri"/>
                <w:color w:val="333B68"/>
                <w:sz w:val="18"/>
                <w:szCs w:val="18"/>
                <w:lang w:eastAsia="es-CL"/>
              </w:rPr>
              <w:t xml:space="preserve">. sobre Ing. de </w:t>
            </w:r>
            <w:proofErr w:type="spellStart"/>
            <w:r w:rsidRPr="00A66D21">
              <w:rPr>
                <w:rFonts w:eastAsia="Times New Roman" w:cs="Calibri"/>
                <w:color w:val="333B68"/>
                <w:sz w:val="18"/>
                <w:szCs w:val="18"/>
                <w:lang w:eastAsia="es-CL"/>
              </w:rPr>
              <w:t>Exp</w:t>
            </w:r>
            <w:proofErr w:type="spellEnd"/>
            <w:r w:rsidRPr="00A66D21">
              <w:rPr>
                <w:rFonts w:eastAsia="Times New Roman" w:cs="Calibri"/>
                <w:color w:val="333B68"/>
                <w:sz w:val="18"/>
                <w:szCs w:val="18"/>
                <w:lang w:eastAsia="es-CL"/>
              </w:rPr>
              <w:t>. (</w:t>
            </w:r>
            <w:proofErr w:type="spellStart"/>
            <w:r w:rsidRPr="00A66D21">
              <w:rPr>
                <w:rFonts w:eastAsia="Times New Roman" w:cs="Calibri"/>
                <w:color w:val="333B68"/>
                <w:sz w:val="18"/>
                <w:szCs w:val="18"/>
                <w:lang w:eastAsia="es-CL"/>
              </w:rPr>
              <w:t>dep</w:t>
            </w:r>
            <w:proofErr w:type="spellEnd"/>
            <w:r w:rsidRPr="00A66D21">
              <w:rPr>
                <w:rFonts w:eastAsia="Times New Roman" w:cs="Calibri"/>
                <w:color w:val="333B68"/>
                <w:sz w:val="18"/>
                <w:szCs w:val="18"/>
                <w:lang w:eastAsia="es-CL"/>
              </w:rPr>
              <w:t xml:space="preserve">. </w:t>
            </w:r>
            <w:proofErr w:type="spellStart"/>
            <w:r w:rsidRPr="00A66D21">
              <w:rPr>
                <w:rFonts w:eastAsia="Times New Roman" w:cs="Calibri"/>
                <w:color w:val="333B68"/>
                <w:sz w:val="18"/>
                <w:szCs w:val="18"/>
                <w:lang w:eastAsia="es-CL"/>
              </w:rPr>
              <w:t>dsctada</w:t>
            </w:r>
            <w:proofErr w:type="spellEnd"/>
            <w:r w:rsidRPr="00A66D21">
              <w:rPr>
                <w:rFonts w:eastAsia="Times New Roman" w:cs="Calibri"/>
                <w:color w:val="333B68"/>
                <w:sz w:val="18"/>
                <w:szCs w:val="18"/>
                <w:lang w:eastAsia="es-CL"/>
              </w:rPr>
              <w:t>.) (%)</w:t>
            </w:r>
          </w:p>
        </w:tc>
        <w:tc>
          <w:tcPr>
            <w:tcW w:w="1200" w:type="dxa"/>
            <w:tcBorders>
              <w:top w:val="nil"/>
              <w:left w:val="nil"/>
              <w:bottom w:val="dotted" w:sz="4" w:space="0" w:color="BB1823"/>
              <w:right w:val="single" w:sz="12" w:space="0" w:color="FFFFFF"/>
            </w:tcBorders>
            <w:shd w:val="clear" w:color="000000" w:fill="FFFFFF"/>
            <w:vAlign w:val="center"/>
            <w:hideMark/>
          </w:tcPr>
          <w:p w14:paraId="58B018E4"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61,12%</w:t>
            </w:r>
          </w:p>
        </w:tc>
        <w:tc>
          <w:tcPr>
            <w:tcW w:w="1200" w:type="dxa"/>
            <w:tcBorders>
              <w:top w:val="nil"/>
              <w:left w:val="nil"/>
              <w:bottom w:val="dotted" w:sz="4" w:space="0" w:color="BB1823"/>
              <w:right w:val="single" w:sz="12" w:space="0" w:color="FFFFFF"/>
            </w:tcBorders>
            <w:shd w:val="clear" w:color="000000" w:fill="FFFFFF"/>
            <w:vAlign w:val="center"/>
            <w:hideMark/>
          </w:tcPr>
          <w:p w14:paraId="76B7B5FF"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59,94%</w:t>
            </w:r>
          </w:p>
        </w:tc>
        <w:tc>
          <w:tcPr>
            <w:tcW w:w="1200" w:type="dxa"/>
            <w:tcBorders>
              <w:top w:val="nil"/>
              <w:left w:val="nil"/>
              <w:bottom w:val="dotted" w:sz="4" w:space="0" w:color="BB1823"/>
              <w:right w:val="single" w:sz="12" w:space="0" w:color="FFFFFF"/>
            </w:tcBorders>
            <w:shd w:val="clear" w:color="000000" w:fill="FFFFFF"/>
            <w:vAlign w:val="center"/>
            <w:hideMark/>
          </w:tcPr>
          <w:p w14:paraId="00CDE94F"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57,35%</w:t>
            </w:r>
          </w:p>
        </w:tc>
        <w:tc>
          <w:tcPr>
            <w:tcW w:w="1200" w:type="dxa"/>
            <w:tcBorders>
              <w:top w:val="nil"/>
              <w:left w:val="nil"/>
              <w:bottom w:val="dotted" w:sz="4" w:space="0" w:color="BB1823"/>
              <w:right w:val="single" w:sz="12" w:space="0" w:color="FFFFFF"/>
            </w:tcBorders>
            <w:shd w:val="clear" w:color="000000" w:fill="FFFFFF"/>
            <w:vAlign w:val="center"/>
            <w:hideMark/>
          </w:tcPr>
          <w:p w14:paraId="767C1DF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55,95%</w:t>
            </w:r>
          </w:p>
        </w:tc>
        <w:tc>
          <w:tcPr>
            <w:tcW w:w="1200" w:type="dxa"/>
            <w:tcBorders>
              <w:top w:val="nil"/>
              <w:left w:val="nil"/>
              <w:bottom w:val="dotted" w:sz="4" w:space="0" w:color="BB1823"/>
              <w:right w:val="single" w:sz="12" w:space="0" w:color="FFFFFF"/>
            </w:tcBorders>
            <w:shd w:val="clear" w:color="000000" w:fill="FFFFFF"/>
            <w:vAlign w:val="center"/>
            <w:hideMark/>
          </w:tcPr>
          <w:p w14:paraId="129580C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56,81%</w:t>
            </w:r>
          </w:p>
        </w:tc>
        <w:tc>
          <w:tcPr>
            <w:tcW w:w="1200" w:type="dxa"/>
            <w:tcBorders>
              <w:top w:val="nil"/>
              <w:left w:val="nil"/>
              <w:bottom w:val="dotted" w:sz="4" w:space="0" w:color="BB1823"/>
              <w:right w:val="single" w:sz="12" w:space="0" w:color="FFFFFF"/>
            </w:tcBorders>
            <w:shd w:val="clear" w:color="000000" w:fill="FFFFFF"/>
            <w:vAlign w:val="center"/>
            <w:hideMark/>
          </w:tcPr>
          <w:p w14:paraId="0C79B8E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56,99%</w:t>
            </w:r>
          </w:p>
        </w:tc>
      </w:tr>
      <w:tr w:rsidR="00A66D21" w:rsidRPr="00A66D21" w14:paraId="726D9E18" w14:textId="77777777" w:rsidTr="00991767">
        <w:trPr>
          <w:trHeight w:val="711"/>
          <w:jc w:val="center"/>
        </w:trPr>
        <w:tc>
          <w:tcPr>
            <w:tcW w:w="2618" w:type="dxa"/>
            <w:tcBorders>
              <w:top w:val="nil"/>
              <w:left w:val="nil"/>
              <w:bottom w:val="dotted" w:sz="4" w:space="0" w:color="BB1823"/>
              <w:right w:val="single" w:sz="12" w:space="0" w:color="FFFFFF"/>
            </w:tcBorders>
            <w:shd w:val="clear" w:color="000000" w:fill="FFFFFF"/>
            <w:vAlign w:val="center"/>
            <w:hideMark/>
          </w:tcPr>
          <w:p w14:paraId="68AC21BA" w14:textId="77777777" w:rsidR="00A66D21" w:rsidRPr="00A66D21" w:rsidRDefault="00A66D21" w:rsidP="00A66D21">
            <w:pPr>
              <w:rPr>
                <w:rFonts w:eastAsia="Times New Roman" w:cs="Calibri"/>
                <w:color w:val="333B68"/>
                <w:sz w:val="18"/>
                <w:szCs w:val="18"/>
                <w:lang w:eastAsia="es-CL"/>
              </w:rPr>
            </w:pPr>
            <w:proofErr w:type="spellStart"/>
            <w:r w:rsidRPr="00A66D21">
              <w:rPr>
                <w:rFonts w:eastAsia="Times New Roman" w:cs="Calibri"/>
                <w:color w:val="333B68"/>
                <w:sz w:val="18"/>
                <w:szCs w:val="18"/>
                <w:lang w:eastAsia="es-CL"/>
              </w:rPr>
              <w:t>Cto</w:t>
            </w:r>
            <w:proofErr w:type="spellEnd"/>
            <w:r w:rsidRPr="00A66D21">
              <w:rPr>
                <w:rFonts w:eastAsia="Times New Roman" w:cs="Calibri"/>
                <w:color w:val="333B68"/>
                <w:sz w:val="18"/>
                <w:szCs w:val="18"/>
                <w:lang w:eastAsia="es-CL"/>
              </w:rPr>
              <w:t xml:space="preserve">. de </w:t>
            </w:r>
            <w:proofErr w:type="spellStart"/>
            <w:r w:rsidRPr="00A66D21">
              <w:rPr>
                <w:rFonts w:eastAsia="Times New Roman" w:cs="Calibri"/>
                <w:color w:val="333B68"/>
                <w:sz w:val="18"/>
                <w:szCs w:val="18"/>
                <w:lang w:eastAsia="es-CL"/>
              </w:rPr>
              <w:t>Exp</w:t>
            </w:r>
            <w:proofErr w:type="spellEnd"/>
            <w:r w:rsidRPr="00A66D21">
              <w:rPr>
                <w:rFonts w:eastAsia="Times New Roman" w:cs="Calibri"/>
                <w:color w:val="333B68"/>
                <w:sz w:val="18"/>
                <w:szCs w:val="18"/>
                <w:lang w:eastAsia="es-CL"/>
              </w:rPr>
              <w:t xml:space="preserve">. sobre Ing. de </w:t>
            </w:r>
            <w:proofErr w:type="spellStart"/>
            <w:r w:rsidRPr="00A66D21">
              <w:rPr>
                <w:rFonts w:eastAsia="Times New Roman" w:cs="Calibri"/>
                <w:color w:val="333B68"/>
                <w:sz w:val="18"/>
                <w:szCs w:val="18"/>
                <w:lang w:eastAsia="es-CL"/>
              </w:rPr>
              <w:t>Exp</w:t>
            </w:r>
            <w:proofErr w:type="spellEnd"/>
            <w:r w:rsidRPr="00A66D21">
              <w:rPr>
                <w:rFonts w:eastAsia="Times New Roman" w:cs="Calibri"/>
                <w:color w:val="333B68"/>
                <w:sz w:val="18"/>
                <w:szCs w:val="18"/>
                <w:lang w:eastAsia="es-CL"/>
              </w:rPr>
              <w:t>. (</w:t>
            </w:r>
            <w:proofErr w:type="spellStart"/>
            <w:r w:rsidRPr="00A66D21">
              <w:rPr>
                <w:rFonts w:eastAsia="Times New Roman" w:cs="Calibri"/>
                <w:color w:val="333B68"/>
                <w:sz w:val="18"/>
                <w:szCs w:val="18"/>
                <w:lang w:eastAsia="es-CL"/>
              </w:rPr>
              <w:t>dep</w:t>
            </w:r>
            <w:proofErr w:type="spellEnd"/>
            <w:r w:rsidRPr="00A66D21">
              <w:rPr>
                <w:rFonts w:eastAsia="Times New Roman" w:cs="Calibri"/>
                <w:color w:val="333B68"/>
                <w:sz w:val="18"/>
                <w:szCs w:val="18"/>
                <w:lang w:eastAsia="es-CL"/>
              </w:rPr>
              <w:t xml:space="preserve">. sin </w:t>
            </w:r>
            <w:proofErr w:type="spellStart"/>
            <w:r w:rsidRPr="00A66D21">
              <w:rPr>
                <w:rFonts w:eastAsia="Times New Roman" w:cs="Calibri"/>
                <w:color w:val="333B68"/>
                <w:sz w:val="18"/>
                <w:szCs w:val="18"/>
                <w:lang w:eastAsia="es-CL"/>
              </w:rPr>
              <w:t>dsctar</w:t>
            </w:r>
            <w:proofErr w:type="spellEnd"/>
            <w:r w:rsidRPr="00A66D21">
              <w:rPr>
                <w:rFonts w:eastAsia="Times New Roman" w:cs="Calibri"/>
                <w:color w:val="333B68"/>
                <w:sz w:val="18"/>
                <w:szCs w:val="18"/>
                <w:lang w:eastAsia="es-CL"/>
              </w:rPr>
              <w:t>.) (%)</w:t>
            </w:r>
          </w:p>
        </w:tc>
        <w:tc>
          <w:tcPr>
            <w:tcW w:w="1200" w:type="dxa"/>
            <w:tcBorders>
              <w:top w:val="nil"/>
              <w:left w:val="nil"/>
              <w:bottom w:val="dotted" w:sz="4" w:space="0" w:color="BB1823"/>
              <w:right w:val="single" w:sz="12" w:space="0" w:color="FFFFFF"/>
            </w:tcBorders>
            <w:shd w:val="clear" w:color="000000" w:fill="FFFFFF"/>
            <w:vAlign w:val="center"/>
            <w:hideMark/>
          </w:tcPr>
          <w:p w14:paraId="2E96D069"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61,64%</w:t>
            </w:r>
          </w:p>
        </w:tc>
        <w:tc>
          <w:tcPr>
            <w:tcW w:w="1200" w:type="dxa"/>
            <w:tcBorders>
              <w:top w:val="nil"/>
              <w:left w:val="nil"/>
              <w:bottom w:val="dotted" w:sz="4" w:space="0" w:color="BB1823"/>
              <w:right w:val="single" w:sz="12" w:space="0" w:color="FFFFFF"/>
            </w:tcBorders>
            <w:shd w:val="clear" w:color="000000" w:fill="FFFFFF"/>
            <w:vAlign w:val="center"/>
            <w:hideMark/>
          </w:tcPr>
          <w:p w14:paraId="6AC61EF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60,83%</w:t>
            </w:r>
          </w:p>
        </w:tc>
        <w:tc>
          <w:tcPr>
            <w:tcW w:w="1200" w:type="dxa"/>
            <w:tcBorders>
              <w:top w:val="nil"/>
              <w:left w:val="nil"/>
              <w:bottom w:val="dotted" w:sz="4" w:space="0" w:color="BB1823"/>
              <w:right w:val="single" w:sz="12" w:space="0" w:color="FFFFFF"/>
            </w:tcBorders>
            <w:shd w:val="clear" w:color="000000" w:fill="FFFFFF"/>
            <w:vAlign w:val="center"/>
            <w:hideMark/>
          </w:tcPr>
          <w:p w14:paraId="4D9DD26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58,29%</w:t>
            </w:r>
          </w:p>
        </w:tc>
        <w:tc>
          <w:tcPr>
            <w:tcW w:w="1200" w:type="dxa"/>
            <w:tcBorders>
              <w:top w:val="nil"/>
              <w:left w:val="nil"/>
              <w:bottom w:val="dotted" w:sz="4" w:space="0" w:color="BB1823"/>
              <w:right w:val="single" w:sz="12" w:space="0" w:color="FFFFFF"/>
            </w:tcBorders>
            <w:shd w:val="clear" w:color="000000" w:fill="FFFFFF"/>
            <w:vAlign w:val="center"/>
            <w:hideMark/>
          </w:tcPr>
          <w:p w14:paraId="3A9C8A03"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58,68%</w:t>
            </w:r>
          </w:p>
        </w:tc>
        <w:tc>
          <w:tcPr>
            <w:tcW w:w="1200" w:type="dxa"/>
            <w:tcBorders>
              <w:top w:val="nil"/>
              <w:left w:val="nil"/>
              <w:bottom w:val="dotted" w:sz="4" w:space="0" w:color="BB1823"/>
              <w:right w:val="single" w:sz="12" w:space="0" w:color="FFFFFF"/>
            </w:tcBorders>
            <w:shd w:val="clear" w:color="000000" w:fill="FFFFFF"/>
            <w:vAlign w:val="center"/>
            <w:hideMark/>
          </w:tcPr>
          <w:p w14:paraId="22676677"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59,59%</w:t>
            </w:r>
          </w:p>
        </w:tc>
        <w:tc>
          <w:tcPr>
            <w:tcW w:w="1200" w:type="dxa"/>
            <w:tcBorders>
              <w:top w:val="nil"/>
              <w:left w:val="nil"/>
              <w:bottom w:val="dotted" w:sz="4" w:space="0" w:color="BB1823"/>
              <w:right w:val="single" w:sz="12" w:space="0" w:color="FFFFFF"/>
            </w:tcBorders>
            <w:shd w:val="clear" w:color="000000" w:fill="FFFFFF"/>
            <w:vAlign w:val="center"/>
            <w:hideMark/>
          </w:tcPr>
          <w:p w14:paraId="73D2A0BE"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59,32%</w:t>
            </w:r>
          </w:p>
        </w:tc>
      </w:tr>
      <w:tr w:rsidR="00A66D21" w:rsidRPr="00A66D21" w14:paraId="0AC5B796" w14:textId="77777777" w:rsidTr="00991767">
        <w:trPr>
          <w:trHeight w:val="565"/>
          <w:jc w:val="center"/>
        </w:trPr>
        <w:tc>
          <w:tcPr>
            <w:tcW w:w="2618" w:type="dxa"/>
            <w:tcBorders>
              <w:top w:val="nil"/>
              <w:left w:val="nil"/>
              <w:bottom w:val="dotted" w:sz="4" w:space="0" w:color="BB1823"/>
              <w:right w:val="single" w:sz="12" w:space="0" w:color="FFFFFF"/>
            </w:tcBorders>
            <w:shd w:val="clear" w:color="000000" w:fill="FFFFFF"/>
            <w:vAlign w:val="center"/>
            <w:hideMark/>
          </w:tcPr>
          <w:p w14:paraId="7256EF55" w14:textId="77777777" w:rsidR="00A66D21" w:rsidRPr="00A66D21" w:rsidRDefault="00A66D21" w:rsidP="00A66D21">
            <w:pPr>
              <w:rPr>
                <w:rFonts w:eastAsia="Times New Roman" w:cs="Calibri"/>
                <w:color w:val="333B68"/>
                <w:sz w:val="18"/>
                <w:szCs w:val="18"/>
                <w:lang w:eastAsia="es-CL"/>
              </w:rPr>
            </w:pPr>
            <w:proofErr w:type="spellStart"/>
            <w:r w:rsidRPr="00A66D21">
              <w:rPr>
                <w:rFonts w:eastAsia="Times New Roman" w:cs="Calibri"/>
                <w:color w:val="333B68"/>
                <w:sz w:val="18"/>
                <w:szCs w:val="18"/>
                <w:lang w:eastAsia="es-CL"/>
              </w:rPr>
              <w:t>Gtos</w:t>
            </w:r>
            <w:proofErr w:type="spellEnd"/>
            <w:r w:rsidRPr="00A66D21">
              <w:rPr>
                <w:rFonts w:eastAsia="Times New Roman" w:cs="Calibri"/>
                <w:color w:val="333B68"/>
                <w:sz w:val="18"/>
                <w:szCs w:val="18"/>
                <w:lang w:eastAsia="es-CL"/>
              </w:rPr>
              <w:t>. A</w:t>
            </w:r>
            <w:proofErr w:type="spellStart"/>
            <w:r w:rsidRPr="00A66D21">
              <w:rPr>
                <w:rFonts w:eastAsia="Times New Roman" w:cs="Calibri"/>
                <w:color w:val="333B68"/>
                <w:sz w:val="18"/>
                <w:szCs w:val="18"/>
                <w:lang w:eastAsia="es-CL"/>
              </w:rPr>
              <w:t>dm</w:t>
            </w:r>
            <w:proofErr w:type="spellEnd"/>
            <w:r w:rsidRPr="00A66D21">
              <w:rPr>
                <w:rFonts w:eastAsia="Times New Roman" w:cs="Calibri"/>
                <w:color w:val="333B68"/>
                <w:sz w:val="18"/>
                <w:szCs w:val="18"/>
                <w:lang w:eastAsia="es-CL"/>
              </w:rPr>
              <w:t xml:space="preserve">. y Vta. sobre Ing. de </w:t>
            </w:r>
            <w:proofErr w:type="spellStart"/>
            <w:r w:rsidRPr="00A66D21">
              <w:rPr>
                <w:rFonts w:eastAsia="Times New Roman" w:cs="Calibri"/>
                <w:color w:val="333B68"/>
                <w:sz w:val="18"/>
                <w:szCs w:val="18"/>
                <w:lang w:eastAsia="es-CL"/>
              </w:rPr>
              <w:t>Exp</w:t>
            </w:r>
            <w:proofErr w:type="spellEnd"/>
            <w:r w:rsidRPr="00A66D21">
              <w:rPr>
                <w:rFonts w:eastAsia="Times New Roman" w:cs="Calibri"/>
                <w:color w:val="333B68"/>
                <w:sz w:val="18"/>
                <w:szCs w:val="18"/>
                <w:lang w:eastAsia="es-CL"/>
              </w:rPr>
              <w:t>. (%)</w:t>
            </w:r>
          </w:p>
        </w:tc>
        <w:tc>
          <w:tcPr>
            <w:tcW w:w="1200" w:type="dxa"/>
            <w:tcBorders>
              <w:top w:val="nil"/>
              <w:left w:val="nil"/>
              <w:bottom w:val="dotted" w:sz="4" w:space="0" w:color="BB1823"/>
              <w:right w:val="single" w:sz="12" w:space="0" w:color="FFFFFF"/>
            </w:tcBorders>
            <w:shd w:val="clear" w:color="000000" w:fill="FFFFFF"/>
            <w:vAlign w:val="center"/>
            <w:hideMark/>
          </w:tcPr>
          <w:p w14:paraId="0C289062"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26,63%</w:t>
            </w:r>
          </w:p>
        </w:tc>
        <w:tc>
          <w:tcPr>
            <w:tcW w:w="1200" w:type="dxa"/>
            <w:tcBorders>
              <w:top w:val="nil"/>
              <w:left w:val="nil"/>
              <w:bottom w:val="dotted" w:sz="4" w:space="0" w:color="BB1823"/>
              <w:right w:val="single" w:sz="12" w:space="0" w:color="FFFFFF"/>
            </w:tcBorders>
            <w:shd w:val="clear" w:color="000000" w:fill="FFFFFF"/>
            <w:vAlign w:val="center"/>
            <w:hideMark/>
          </w:tcPr>
          <w:p w14:paraId="0B37C6DD"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34,49%</w:t>
            </w:r>
          </w:p>
        </w:tc>
        <w:tc>
          <w:tcPr>
            <w:tcW w:w="1200" w:type="dxa"/>
            <w:tcBorders>
              <w:top w:val="nil"/>
              <w:left w:val="nil"/>
              <w:bottom w:val="dotted" w:sz="4" w:space="0" w:color="BB1823"/>
              <w:right w:val="single" w:sz="12" w:space="0" w:color="FFFFFF"/>
            </w:tcBorders>
            <w:shd w:val="clear" w:color="000000" w:fill="FFFFFF"/>
            <w:vAlign w:val="center"/>
            <w:hideMark/>
          </w:tcPr>
          <w:p w14:paraId="75D4B5CB"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33,52%</w:t>
            </w:r>
          </w:p>
        </w:tc>
        <w:tc>
          <w:tcPr>
            <w:tcW w:w="1200" w:type="dxa"/>
            <w:tcBorders>
              <w:top w:val="nil"/>
              <w:left w:val="nil"/>
              <w:bottom w:val="dotted" w:sz="4" w:space="0" w:color="BB1823"/>
              <w:right w:val="single" w:sz="12" w:space="0" w:color="FFFFFF"/>
            </w:tcBorders>
            <w:shd w:val="clear" w:color="000000" w:fill="FFFFFF"/>
            <w:vAlign w:val="center"/>
            <w:hideMark/>
          </w:tcPr>
          <w:p w14:paraId="7C4F1EB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34,74%</w:t>
            </w:r>
          </w:p>
        </w:tc>
        <w:tc>
          <w:tcPr>
            <w:tcW w:w="1200" w:type="dxa"/>
            <w:tcBorders>
              <w:top w:val="nil"/>
              <w:left w:val="nil"/>
              <w:bottom w:val="dotted" w:sz="4" w:space="0" w:color="BB1823"/>
              <w:right w:val="single" w:sz="12" w:space="0" w:color="FFFFFF"/>
            </w:tcBorders>
            <w:shd w:val="clear" w:color="000000" w:fill="FFFFFF"/>
            <w:vAlign w:val="center"/>
            <w:hideMark/>
          </w:tcPr>
          <w:p w14:paraId="025A109A"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32,35%</w:t>
            </w:r>
          </w:p>
        </w:tc>
        <w:tc>
          <w:tcPr>
            <w:tcW w:w="1200" w:type="dxa"/>
            <w:tcBorders>
              <w:top w:val="nil"/>
              <w:left w:val="nil"/>
              <w:bottom w:val="dotted" w:sz="4" w:space="0" w:color="BB1823"/>
              <w:right w:val="single" w:sz="12" w:space="0" w:color="FFFFFF"/>
            </w:tcBorders>
            <w:shd w:val="clear" w:color="000000" w:fill="FFFFFF"/>
            <w:vAlign w:val="center"/>
            <w:hideMark/>
          </w:tcPr>
          <w:p w14:paraId="543B8763"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27,69%</w:t>
            </w:r>
          </w:p>
        </w:tc>
      </w:tr>
      <w:tr w:rsidR="00A66D21" w:rsidRPr="00A66D21" w14:paraId="59D2D610" w14:textId="77777777" w:rsidTr="00991767">
        <w:trPr>
          <w:trHeight w:val="545"/>
          <w:jc w:val="center"/>
        </w:trPr>
        <w:tc>
          <w:tcPr>
            <w:tcW w:w="2618" w:type="dxa"/>
            <w:tcBorders>
              <w:top w:val="nil"/>
              <w:left w:val="nil"/>
              <w:bottom w:val="dotted" w:sz="4" w:space="0" w:color="BB1823"/>
              <w:right w:val="single" w:sz="12" w:space="0" w:color="FFFFFF"/>
            </w:tcBorders>
            <w:shd w:val="clear" w:color="000000" w:fill="FFFFFF"/>
            <w:vAlign w:val="center"/>
            <w:hideMark/>
          </w:tcPr>
          <w:p w14:paraId="5E20BF12" w14:textId="77777777" w:rsidR="00A66D21" w:rsidRPr="00211DD6" w:rsidRDefault="00A66D21" w:rsidP="00A66D21">
            <w:pPr>
              <w:rPr>
                <w:rFonts w:eastAsia="Times New Roman" w:cs="Calibri"/>
                <w:color w:val="333B68"/>
                <w:sz w:val="18"/>
                <w:szCs w:val="18"/>
                <w:lang w:val="en-US" w:eastAsia="es-CL"/>
              </w:rPr>
            </w:pPr>
            <w:r w:rsidRPr="00211DD6">
              <w:rPr>
                <w:rFonts w:eastAsia="Times New Roman" w:cs="Calibri"/>
                <w:color w:val="333B68"/>
                <w:sz w:val="18"/>
                <w:szCs w:val="18"/>
                <w:lang w:val="en-US" w:eastAsia="es-CL"/>
              </w:rPr>
              <w:t>ROCE (Return Over Capital Employed) (%)</w:t>
            </w:r>
          </w:p>
        </w:tc>
        <w:tc>
          <w:tcPr>
            <w:tcW w:w="1200" w:type="dxa"/>
            <w:tcBorders>
              <w:top w:val="nil"/>
              <w:left w:val="nil"/>
              <w:bottom w:val="dotted" w:sz="4" w:space="0" w:color="BB1823"/>
              <w:right w:val="single" w:sz="12" w:space="0" w:color="FFFFFF"/>
            </w:tcBorders>
            <w:shd w:val="clear" w:color="000000" w:fill="FFFFFF"/>
            <w:vAlign w:val="center"/>
            <w:hideMark/>
          </w:tcPr>
          <w:p w14:paraId="294EFD9E"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42,95%</w:t>
            </w:r>
          </w:p>
        </w:tc>
        <w:tc>
          <w:tcPr>
            <w:tcW w:w="1200" w:type="dxa"/>
            <w:tcBorders>
              <w:top w:val="nil"/>
              <w:left w:val="nil"/>
              <w:bottom w:val="dotted" w:sz="4" w:space="0" w:color="BB1823"/>
              <w:right w:val="single" w:sz="12" w:space="0" w:color="FFFFFF"/>
            </w:tcBorders>
            <w:shd w:val="clear" w:color="000000" w:fill="FFFFFF"/>
            <w:vAlign w:val="center"/>
            <w:hideMark/>
          </w:tcPr>
          <w:p w14:paraId="56645556"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15,50%</w:t>
            </w:r>
          </w:p>
        </w:tc>
        <w:tc>
          <w:tcPr>
            <w:tcW w:w="1200" w:type="dxa"/>
            <w:tcBorders>
              <w:top w:val="nil"/>
              <w:left w:val="nil"/>
              <w:bottom w:val="dotted" w:sz="4" w:space="0" w:color="BB1823"/>
              <w:right w:val="single" w:sz="12" w:space="0" w:color="FFFFFF"/>
            </w:tcBorders>
            <w:shd w:val="clear" w:color="000000" w:fill="FFFFFF"/>
            <w:vAlign w:val="center"/>
            <w:hideMark/>
          </w:tcPr>
          <w:p w14:paraId="622AB442"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29,07%</w:t>
            </w:r>
          </w:p>
        </w:tc>
        <w:tc>
          <w:tcPr>
            <w:tcW w:w="1200" w:type="dxa"/>
            <w:tcBorders>
              <w:top w:val="nil"/>
              <w:left w:val="nil"/>
              <w:bottom w:val="dotted" w:sz="4" w:space="0" w:color="BB1823"/>
              <w:right w:val="single" w:sz="12" w:space="0" w:color="FFFFFF"/>
            </w:tcBorders>
            <w:shd w:val="clear" w:color="000000" w:fill="FFFFFF"/>
            <w:vAlign w:val="center"/>
            <w:hideMark/>
          </w:tcPr>
          <w:p w14:paraId="1B523706"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28,36%</w:t>
            </w:r>
          </w:p>
        </w:tc>
        <w:tc>
          <w:tcPr>
            <w:tcW w:w="1200" w:type="dxa"/>
            <w:tcBorders>
              <w:top w:val="nil"/>
              <w:left w:val="nil"/>
              <w:bottom w:val="dotted" w:sz="4" w:space="0" w:color="BB1823"/>
              <w:right w:val="single" w:sz="12" w:space="0" w:color="FFFFFF"/>
            </w:tcBorders>
            <w:shd w:val="clear" w:color="000000" w:fill="FFFFFF"/>
            <w:vAlign w:val="center"/>
            <w:hideMark/>
          </w:tcPr>
          <w:p w14:paraId="3C159C00"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36,81%</w:t>
            </w:r>
          </w:p>
        </w:tc>
        <w:tc>
          <w:tcPr>
            <w:tcW w:w="1200" w:type="dxa"/>
            <w:tcBorders>
              <w:top w:val="nil"/>
              <w:left w:val="nil"/>
              <w:bottom w:val="dotted" w:sz="4" w:space="0" w:color="BB1823"/>
              <w:right w:val="single" w:sz="12" w:space="0" w:color="FFFFFF"/>
            </w:tcBorders>
            <w:shd w:val="clear" w:color="000000" w:fill="FFFFFF"/>
            <w:vAlign w:val="center"/>
            <w:hideMark/>
          </w:tcPr>
          <w:p w14:paraId="240E7608"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75,85%</w:t>
            </w:r>
          </w:p>
        </w:tc>
      </w:tr>
      <w:tr w:rsidR="00A66D21" w:rsidRPr="00A66D21" w14:paraId="5B00CE58" w14:textId="77777777" w:rsidTr="007604E9">
        <w:trPr>
          <w:trHeight w:val="480"/>
          <w:jc w:val="center"/>
        </w:trPr>
        <w:tc>
          <w:tcPr>
            <w:tcW w:w="2618" w:type="dxa"/>
            <w:tcBorders>
              <w:top w:val="nil"/>
              <w:left w:val="nil"/>
              <w:bottom w:val="nil"/>
              <w:right w:val="single" w:sz="12" w:space="0" w:color="FFFFFF"/>
            </w:tcBorders>
            <w:shd w:val="clear" w:color="000000" w:fill="FFFFFF"/>
            <w:vAlign w:val="center"/>
            <w:hideMark/>
          </w:tcPr>
          <w:p w14:paraId="086B16C2" w14:textId="77777777" w:rsidR="00A66D21" w:rsidRPr="00A66D21" w:rsidRDefault="00A66D21" w:rsidP="00A66D21">
            <w:pPr>
              <w:rPr>
                <w:rFonts w:eastAsia="Times New Roman" w:cs="Calibri"/>
                <w:color w:val="333B68"/>
                <w:sz w:val="18"/>
                <w:szCs w:val="18"/>
                <w:lang w:eastAsia="es-CL"/>
              </w:rPr>
            </w:pPr>
            <w:r w:rsidRPr="00A66D21">
              <w:rPr>
                <w:rFonts w:eastAsia="Times New Roman" w:cs="Calibri"/>
                <w:color w:val="333B68"/>
                <w:sz w:val="18"/>
                <w:szCs w:val="18"/>
                <w:lang w:eastAsia="es-CL"/>
              </w:rPr>
              <w:t>E.B.I.T.D.A. a Ingresos (%)</w:t>
            </w:r>
          </w:p>
        </w:tc>
        <w:tc>
          <w:tcPr>
            <w:tcW w:w="1200" w:type="dxa"/>
            <w:tcBorders>
              <w:top w:val="nil"/>
              <w:left w:val="nil"/>
              <w:bottom w:val="nil"/>
              <w:right w:val="single" w:sz="12" w:space="0" w:color="FFFFFF"/>
            </w:tcBorders>
            <w:shd w:val="clear" w:color="000000" w:fill="FFFFFF"/>
            <w:vAlign w:val="center"/>
            <w:hideMark/>
          </w:tcPr>
          <w:p w14:paraId="0F54B60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12,20%</w:t>
            </w:r>
          </w:p>
        </w:tc>
        <w:tc>
          <w:tcPr>
            <w:tcW w:w="1200" w:type="dxa"/>
            <w:tcBorders>
              <w:top w:val="nil"/>
              <w:left w:val="nil"/>
              <w:bottom w:val="nil"/>
              <w:right w:val="single" w:sz="12" w:space="0" w:color="FFFFFF"/>
            </w:tcBorders>
            <w:shd w:val="clear" w:color="000000" w:fill="FFFFFF"/>
            <w:vAlign w:val="center"/>
            <w:hideMark/>
          </w:tcPr>
          <w:p w14:paraId="3FD7915E"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5,49%</w:t>
            </w:r>
          </w:p>
        </w:tc>
        <w:tc>
          <w:tcPr>
            <w:tcW w:w="1200" w:type="dxa"/>
            <w:tcBorders>
              <w:top w:val="nil"/>
              <w:left w:val="nil"/>
              <w:bottom w:val="nil"/>
              <w:right w:val="single" w:sz="12" w:space="0" w:color="FFFFFF"/>
            </w:tcBorders>
            <w:shd w:val="clear" w:color="000000" w:fill="FFFFFF"/>
            <w:vAlign w:val="center"/>
            <w:hideMark/>
          </w:tcPr>
          <w:p w14:paraId="4BF09BCA"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8,66%</w:t>
            </w:r>
          </w:p>
        </w:tc>
        <w:tc>
          <w:tcPr>
            <w:tcW w:w="1200" w:type="dxa"/>
            <w:tcBorders>
              <w:top w:val="nil"/>
              <w:left w:val="nil"/>
              <w:bottom w:val="nil"/>
              <w:right w:val="single" w:sz="12" w:space="0" w:color="FFFFFF"/>
            </w:tcBorders>
            <w:shd w:val="clear" w:color="000000" w:fill="FFFFFF"/>
            <w:vAlign w:val="center"/>
            <w:hideMark/>
          </w:tcPr>
          <w:p w14:paraId="689569A6"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9,24%</w:t>
            </w:r>
          </w:p>
        </w:tc>
        <w:tc>
          <w:tcPr>
            <w:tcW w:w="1200" w:type="dxa"/>
            <w:tcBorders>
              <w:top w:val="nil"/>
              <w:left w:val="nil"/>
              <w:bottom w:val="nil"/>
              <w:right w:val="single" w:sz="12" w:space="0" w:color="FFFFFF"/>
            </w:tcBorders>
            <w:shd w:val="clear" w:color="000000" w:fill="FFFFFF"/>
            <w:vAlign w:val="center"/>
            <w:hideMark/>
          </w:tcPr>
          <w:p w14:paraId="4702FA45"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10,82%</w:t>
            </w:r>
          </w:p>
        </w:tc>
        <w:tc>
          <w:tcPr>
            <w:tcW w:w="1200" w:type="dxa"/>
            <w:tcBorders>
              <w:top w:val="nil"/>
              <w:left w:val="nil"/>
              <w:bottom w:val="nil"/>
              <w:right w:val="single" w:sz="12" w:space="0" w:color="FFFFFF"/>
            </w:tcBorders>
            <w:shd w:val="clear" w:color="000000" w:fill="FFFFFF"/>
            <w:vAlign w:val="center"/>
            <w:hideMark/>
          </w:tcPr>
          <w:p w14:paraId="5847F14C" w14:textId="77777777" w:rsidR="00A66D21" w:rsidRPr="00A66D21" w:rsidRDefault="00A66D21" w:rsidP="00A66D21">
            <w:pPr>
              <w:jc w:val="center"/>
              <w:rPr>
                <w:rFonts w:eastAsia="Times New Roman" w:cs="Calibri"/>
                <w:color w:val="333B68"/>
                <w:sz w:val="18"/>
                <w:szCs w:val="18"/>
                <w:lang w:eastAsia="es-CL"/>
              </w:rPr>
            </w:pPr>
            <w:r w:rsidRPr="00A66D21">
              <w:rPr>
                <w:rFonts w:eastAsia="Times New Roman" w:cs="Calibri"/>
                <w:color w:val="333B68"/>
                <w:sz w:val="18"/>
                <w:szCs w:val="18"/>
                <w:lang w:eastAsia="es-CL"/>
              </w:rPr>
              <w:t>15,29%</w:t>
            </w:r>
          </w:p>
        </w:tc>
      </w:tr>
    </w:tbl>
    <w:p w14:paraId="79FC2559" w14:textId="77777777" w:rsidR="0082574E" w:rsidRDefault="0082574E"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2DCE3440" w14:textId="46A98546" w:rsidR="008A74BE" w:rsidRDefault="008A74BE"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706A9D07" w14:textId="45170423"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1F069074" w14:textId="59E06E88"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11FD40AF" w14:textId="3BA734EB"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18A5EFD1" w14:textId="30EDF39A"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33A72A25" w14:textId="2F08A70F"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79FDA736" w14:textId="1304CEBC"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3A7BCF8C" w14:textId="3AD6121D"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4181BDB9" w14:textId="29583E38"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3957C648" w14:textId="775E8D1F"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0158DDB8" w14:textId="493E8E45"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7FE4D045" w14:textId="0816DF41"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707F8193" w14:textId="669AD0BF"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5C472266" w14:textId="2FFF9C4A"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7C1B98AC" w14:textId="49BCFDDD"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7263D907" w14:textId="7B89E843"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74A042F4" w14:textId="43358B25"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7827D1B2" w14:textId="2AA48FE7"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06315CAD" w14:textId="2EBCFE77"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237AD5C0" w14:textId="3A66FB45"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1BC25BB6" w14:textId="0A452033"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18F0F828" w14:textId="6F6CCFC6"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3C6BD671" w14:textId="100E7C1A"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16BBBD20" w14:textId="3B5339A2"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02D6E0DC" w14:textId="087D05B5"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3F50A38F" w14:textId="139F7544" w:rsidR="00991767"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67627177" w14:textId="77777777" w:rsidR="00991767" w:rsidRPr="00F936FD" w:rsidRDefault="00991767" w:rsidP="0082574E">
      <w:pPr>
        <w:tabs>
          <w:tab w:val="right" w:pos="7489"/>
          <w:tab w:val="left" w:pos="11160"/>
        </w:tabs>
        <w:spacing w:line="360" w:lineRule="auto"/>
        <w:jc w:val="center"/>
        <w:rPr>
          <w:rFonts w:ascii="Verdana" w:eastAsia="Times New Roman" w:hAnsi="Verdana" w:cs="Times New Roman"/>
          <w:b/>
          <w:color w:val="999999"/>
          <w:sz w:val="19"/>
          <w:szCs w:val="19"/>
          <w:highlight w:val="yellow"/>
          <w:lang w:eastAsia="es-ES"/>
        </w:rPr>
      </w:pPr>
    </w:p>
    <w:p w14:paraId="07A860FD" w14:textId="77777777" w:rsidR="00F976A9" w:rsidRPr="00F936FD" w:rsidRDefault="00F976A9" w:rsidP="00F976A9">
      <w:pPr>
        <w:tabs>
          <w:tab w:val="right" w:pos="7489"/>
          <w:tab w:val="left" w:pos="11160"/>
        </w:tabs>
        <w:spacing w:line="360" w:lineRule="auto"/>
        <w:jc w:val="both"/>
        <w:rPr>
          <w:rFonts w:ascii="Verdana" w:eastAsia="Times New Roman" w:hAnsi="Verdana" w:cs="Times New Roman"/>
          <w:b/>
          <w:color w:val="999999"/>
          <w:sz w:val="19"/>
          <w:szCs w:val="19"/>
          <w:highlight w:val="yellow"/>
          <w:lang w:eastAsia="es-ES"/>
        </w:rPr>
      </w:pPr>
    </w:p>
    <w:p w14:paraId="02898D3B" w14:textId="77777777" w:rsidR="0015612C" w:rsidRPr="00F936FD" w:rsidRDefault="0015612C" w:rsidP="0015612C">
      <w:pPr>
        <w:rPr>
          <w:highlight w:val="yellow"/>
        </w:rPr>
      </w:pPr>
    </w:p>
    <w:p w14:paraId="33A3E3F7" w14:textId="7BAB5B73" w:rsidR="0066591E" w:rsidRDefault="0066591E" w:rsidP="00F976A9">
      <w:pPr>
        <w:tabs>
          <w:tab w:val="right" w:pos="7489"/>
          <w:tab w:val="left" w:pos="11160"/>
        </w:tabs>
        <w:spacing w:line="360" w:lineRule="auto"/>
        <w:jc w:val="both"/>
        <w:rPr>
          <w:rFonts w:ascii="Verdana" w:eastAsia="Times New Roman" w:hAnsi="Verdana" w:cs="Times New Roman"/>
          <w:b/>
          <w:color w:val="999999"/>
          <w:sz w:val="19"/>
          <w:szCs w:val="19"/>
          <w:highlight w:val="yellow"/>
          <w:lang w:eastAsia="es-ES"/>
        </w:rPr>
      </w:pPr>
    </w:p>
    <w:p w14:paraId="77E04847" w14:textId="7241D595" w:rsidR="007604E9" w:rsidRDefault="007604E9" w:rsidP="00F976A9">
      <w:pPr>
        <w:tabs>
          <w:tab w:val="right" w:pos="7489"/>
          <w:tab w:val="left" w:pos="11160"/>
        </w:tabs>
        <w:spacing w:line="360" w:lineRule="auto"/>
        <w:jc w:val="both"/>
        <w:rPr>
          <w:rFonts w:ascii="Verdana" w:eastAsia="Times New Roman" w:hAnsi="Verdana" w:cs="Times New Roman"/>
          <w:b/>
          <w:color w:val="999999"/>
          <w:sz w:val="19"/>
          <w:szCs w:val="19"/>
          <w:highlight w:val="yellow"/>
          <w:lang w:eastAsia="es-ES"/>
        </w:rPr>
      </w:pPr>
    </w:p>
    <w:p w14:paraId="62ABB6D4" w14:textId="7091CD09" w:rsidR="007604E9" w:rsidRDefault="007604E9" w:rsidP="00F976A9">
      <w:pPr>
        <w:tabs>
          <w:tab w:val="right" w:pos="7489"/>
          <w:tab w:val="left" w:pos="11160"/>
        </w:tabs>
        <w:spacing w:line="360" w:lineRule="auto"/>
        <w:jc w:val="both"/>
        <w:rPr>
          <w:rFonts w:ascii="Verdana" w:eastAsia="Times New Roman" w:hAnsi="Verdana" w:cs="Times New Roman"/>
          <w:b/>
          <w:color w:val="999999"/>
          <w:sz w:val="19"/>
          <w:szCs w:val="19"/>
          <w:highlight w:val="yellow"/>
          <w:lang w:eastAsia="es-ES"/>
        </w:rPr>
      </w:pPr>
    </w:p>
    <w:p w14:paraId="2473D34C" w14:textId="0A7DDC5C" w:rsidR="007604E9" w:rsidRDefault="007604E9" w:rsidP="00F976A9">
      <w:pPr>
        <w:tabs>
          <w:tab w:val="right" w:pos="7489"/>
          <w:tab w:val="left" w:pos="11160"/>
        </w:tabs>
        <w:spacing w:line="360" w:lineRule="auto"/>
        <w:jc w:val="both"/>
        <w:rPr>
          <w:rFonts w:ascii="Verdana" w:eastAsia="Times New Roman" w:hAnsi="Verdana" w:cs="Times New Roman"/>
          <w:b/>
          <w:color w:val="999999"/>
          <w:sz w:val="19"/>
          <w:szCs w:val="19"/>
          <w:highlight w:val="yellow"/>
          <w:lang w:eastAsia="es-ES"/>
        </w:rPr>
      </w:pPr>
    </w:p>
    <w:p w14:paraId="197B6F6B" w14:textId="77777777" w:rsidR="007604E9" w:rsidRPr="00F936FD" w:rsidRDefault="007604E9" w:rsidP="00F976A9">
      <w:pPr>
        <w:tabs>
          <w:tab w:val="right" w:pos="7489"/>
          <w:tab w:val="left" w:pos="11160"/>
        </w:tabs>
        <w:spacing w:line="360" w:lineRule="auto"/>
        <w:jc w:val="both"/>
        <w:rPr>
          <w:rFonts w:ascii="Verdana" w:eastAsia="Times New Roman" w:hAnsi="Verdana" w:cs="Times New Roman"/>
          <w:b/>
          <w:color w:val="999999"/>
          <w:sz w:val="19"/>
          <w:szCs w:val="19"/>
          <w:highlight w:val="yellow"/>
          <w:lang w:eastAsia="es-ES"/>
        </w:rPr>
      </w:pPr>
    </w:p>
    <w:p w14:paraId="46F85600" w14:textId="4008216E" w:rsidR="0058374A" w:rsidRPr="00F936FD" w:rsidRDefault="0058374A" w:rsidP="00F976A9">
      <w:pPr>
        <w:tabs>
          <w:tab w:val="right" w:pos="7489"/>
          <w:tab w:val="left" w:pos="11160"/>
        </w:tabs>
        <w:spacing w:line="360" w:lineRule="auto"/>
        <w:jc w:val="both"/>
        <w:rPr>
          <w:rFonts w:ascii="Verdana" w:eastAsia="Times New Roman" w:hAnsi="Verdana" w:cs="Times New Roman"/>
          <w:b/>
          <w:color w:val="999999"/>
          <w:sz w:val="19"/>
          <w:szCs w:val="19"/>
          <w:highlight w:val="yellow"/>
          <w:lang w:eastAsia="es-ES"/>
        </w:rPr>
      </w:pPr>
    </w:p>
    <w:p w14:paraId="00DEBFAB" w14:textId="1BE07F35" w:rsidR="00F976A9" w:rsidRPr="007604E9" w:rsidRDefault="00F976A9" w:rsidP="00F976A9">
      <w:pPr>
        <w:tabs>
          <w:tab w:val="left" w:pos="0"/>
          <w:tab w:val="left" w:pos="11160"/>
        </w:tabs>
        <w:spacing w:line="360" w:lineRule="auto"/>
        <w:ind w:right="-1"/>
        <w:jc w:val="both"/>
        <w:rPr>
          <w:color w:val="BFBFBF" w:themeColor="background1" w:themeShade="BF"/>
        </w:rPr>
      </w:pPr>
      <w:r w:rsidRPr="007604E9">
        <w:rPr>
          <w:rFonts w:ascii="Verdana" w:eastAsia="Times New Roman" w:hAnsi="Verdana" w:cs="Times New Roman"/>
          <w:bCs/>
          <w:i/>
          <w:color w:val="BFBFBF" w:themeColor="background1" w:themeShade="BF"/>
          <w:sz w:val="16"/>
          <w:szCs w:val="16"/>
          <w:lang w:eastAsia="es-ES"/>
        </w:rPr>
        <w:t xml:space="preserve">“La opinión de las entidades clasificadoras no constituye en ningún caso una recomendación para comprar, vender o mantener un determinado instrumento. El análisis no es el resultado de una auditoría practicada al emisor, sino que se basa en información que éste ha hecho pública o ha remitido a la Comisión para el Mercado Financiero y en aquella que ha sido aportada voluntariamente por el emisor, no siendo responsabilidad de la firma evaluadora la verificación de la autenticidad de </w:t>
      </w:r>
      <w:proofErr w:type="gramStart"/>
      <w:r w:rsidRPr="007604E9">
        <w:rPr>
          <w:rFonts w:ascii="Verdana" w:eastAsia="Times New Roman" w:hAnsi="Verdana" w:cs="Times New Roman"/>
          <w:bCs/>
          <w:i/>
          <w:color w:val="BFBFBF" w:themeColor="background1" w:themeShade="BF"/>
          <w:sz w:val="16"/>
          <w:szCs w:val="16"/>
          <w:lang w:eastAsia="es-ES"/>
        </w:rPr>
        <w:t>la misma</w:t>
      </w:r>
      <w:proofErr w:type="gramEnd"/>
      <w:r w:rsidRPr="007604E9">
        <w:rPr>
          <w:rFonts w:ascii="Verdana" w:eastAsia="Times New Roman" w:hAnsi="Verdana" w:cs="Times New Roman"/>
          <w:bCs/>
          <w:i/>
          <w:color w:val="BFBFBF" w:themeColor="background1" w:themeShade="BF"/>
          <w:sz w:val="16"/>
          <w:szCs w:val="16"/>
          <w:lang w:eastAsia="es-ES"/>
        </w:rPr>
        <w:t>.”</w:t>
      </w:r>
    </w:p>
    <w:sectPr w:rsidR="00F976A9" w:rsidRPr="007604E9" w:rsidSect="00DE23AE">
      <w:headerReference w:type="even" r:id="rId26"/>
      <w:headerReference w:type="default" r:id="rId27"/>
      <w:footerReference w:type="even" r:id="rId28"/>
      <w:footerReference w:type="default" r:id="rId29"/>
      <w:headerReference w:type="first" r:id="rId30"/>
      <w:footerReference w:type="first" r:id="rId31"/>
      <w:pgSz w:w="12240" w:h="15840"/>
      <w:pgMar w:top="2268" w:right="1247" w:bottom="1531" w:left="1247" w:header="567" w:footer="56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7D1EB" w14:textId="77777777" w:rsidR="00E71F3A" w:rsidRDefault="00E71F3A" w:rsidP="00366E6F">
      <w:r>
        <w:separator/>
      </w:r>
    </w:p>
  </w:endnote>
  <w:endnote w:type="continuationSeparator" w:id="0">
    <w:p w14:paraId="241EE6C1" w14:textId="77777777" w:rsidR="00E71F3A" w:rsidRDefault="00E71F3A" w:rsidP="00366E6F">
      <w:r>
        <w:continuationSeparator/>
      </w:r>
    </w:p>
  </w:endnote>
  <w:endnote w:type="continuationNotice" w:id="1">
    <w:p w14:paraId="72171009" w14:textId="77777777" w:rsidR="00E71F3A" w:rsidRDefault="00E71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yriad Pro Black SemiCond">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05480477"/>
      <w:docPartObj>
        <w:docPartGallery w:val="Page Numbers (Bottom of Page)"/>
        <w:docPartUnique/>
      </w:docPartObj>
    </w:sdtPr>
    <w:sdtEndPr>
      <w:rPr>
        <w:rStyle w:val="Nmerodepgina"/>
      </w:rPr>
    </w:sdtEndPr>
    <w:sdtContent>
      <w:p w14:paraId="216E9939" w14:textId="77777777" w:rsidR="002776AA" w:rsidRDefault="002776AA" w:rsidP="00366E6F">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AF8D98E" w14:textId="77777777" w:rsidR="002776AA" w:rsidRDefault="002776AA" w:rsidP="00366E6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Myriad Pro Black SemiCond" w:hAnsi="Myriad Pro Black SemiCond"/>
        <w:b/>
        <w:bCs/>
        <w:color w:val="FFFFFF" w:themeColor="background1"/>
      </w:rPr>
      <w:id w:val="-121542592"/>
      <w:docPartObj>
        <w:docPartGallery w:val="Page Numbers (Bottom of Page)"/>
        <w:docPartUnique/>
      </w:docPartObj>
    </w:sdtPr>
    <w:sdtEndPr>
      <w:rPr>
        <w:rStyle w:val="Nmerodepgina"/>
      </w:rPr>
    </w:sdtEndPr>
    <w:sdtContent>
      <w:p w14:paraId="5F8E387B" w14:textId="77777777" w:rsidR="002776AA" w:rsidRPr="00366E6F" w:rsidRDefault="002776AA" w:rsidP="00366E6F">
        <w:pPr>
          <w:framePr w:wrap="none" w:vAnchor="text" w:hAnchor="page" w:x="11298" w:y="9"/>
          <w:rPr>
            <w:rStyle w:val="Nmerodepgina"/>
            <w:rFonts w:ascii="Myriad Pro Black SemiCond" w:hAnsi="Myriad Pro Black SemiCond"/>
            <w:b/>
            <w:bCs/>
            <w:color w:val="FFFFFF" w:themeColor="background1"/>
          </w:rPr>
        </w:pPr>
        <w:r w:rsidRPr="00366E6F">
          <w:rPr>
            <w:rStyle w:val="Nmerodepgina"/>
            <w:rFonts w:ascii="Myriad Pro Black SemiCond" w:hAnsi="Myriad Pro Black SemiCond"/>
            <w:b/>
            <w:bCs/>
            <w:color w:val="FFFFFF" w:themeColor="background1"/>
          </w:rPr>
          <w:fldChar w:fldCharType="begin"/>
        </w:r>
        <w:r w:rsidRPr="00366E6F">
          <w:rPr>
            <w:rStyle w:val="Nmerodepgina"/>
            <w:rFonts w:ascii="Myriad Pro Black SemiCond" w:hAnsi="Myriad Pro Black SemiCond"/>
            <w:b/>
            <w:bCs/>
            <w:color w:val="FFFFFF" w:themeColor="background1"/>
          </w:rPr>
          <w:instrText xml:space="preserve"> PAGE </w:instrText>
        </w:r>
        <w:r w:rsidRPr="00366E6F">
          <w:rPr>
            <w:rStyle w:val="Nmerodepgina"/>
            <w:rFonts w:ascii="Myriad Pro Black SemiCond" w:hAnsi="Myriad Pro Black SemiCond"/>
            <w:b/>
            <w:bCs/>
            <w:color w:val="FFFFFF" w:themeColor="background1"/>
          </w:rPr>
          <w:fldChar w:fldCharType="separate"/>
        </w:r>
        <w:r w:rsidRPr="00366E6F">
          <w:rPr>
            <w:rStyle w:val="Nmerodepgina"/>
            <w:rFonts w:ascii="Myriad Pro Black SemiCond" w:hAnsi="Myriad Pro Black SemiCond"/>
            <w:b/>
            <w:bCs/>
            <w:noProof/>
            <w:color w:val="FFFFFF" w:themeColor="background1"/>
          </w:rPr>
          <w:t>1</w:t>
        </w:r>
        <w:r w:rsidRPr="00366E6F">
          <w:rPr>
            <w:rStyle w:val="Nmerodepgina"/>
            <w:rFonts w:ascii="Myriad Pro Black SemiCond" w:hAnsi="Myriad Pro Black SemiCond"/>
            <w:b/>
            <w:bCs/>
            <w:color w:val="FFFFFF" w:themeColor="background1"/>
          </w:rPr>
          <w:fldChar w:fldCharType="end"/>
        </w:r>
      </w:p>
    </w:sdtContent>
  </w:sdt>
  <w:sdt>
    <w:sdtPr>
      <w:rPr>
        <w:rStyle w:val="Nmerodepgina"/>
      </w:rPr>
      <w:id w:val="683864722"/>
      <w:docPartObj>
        <w:docPartGallery w:val="Page Numbers (Top of Page)"/>
        <w:docPartUnique/>
      </w:docPartObj>
    </w:sdtPr>
    <w:sdtEndPr>
      <w:rPr>
        <w:rStyle w:val="Nmerodepgina"/>
      </w:rPr>
    </w:sdtEndPr>
    <w:sdtContent>
      <w:p w14:paraId="434A3097" w14:textId="77777777" w:rsidR="00DE23AE" w:rsidRDefault="00DE23AE" w:rsidP="00DE23AE">
        <w:pPr>
          <w:pStyle w:val="Encabezado"/>
          <w:framePr w:w="799" w:h="399" w:hRule="exact" w:wrap="none" w:vAnchor="text" w:hAnchor="page" w:x="10613" w:y="-37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E19B4C0" w14:textId="566F4063" w:rsidR="002776AA" w:rsidRDefault="002776AA" w:rsidP="00366E6F">
    <w:pPr>
      <w:ind w:right="360"/>
    </w:pPr>
    <w:r w:rsidRPr="00B33A29">
      <w:rPr>
        <w:noProof/>
      </w:rPr>
      <w:drawing>
        <wp:anchor distT="0" distB="0" distL="114300" distR="114300" simplePos="0" relativeHeight="251658241" behindDoc="1" locked="0" layoutInCell="1" allowOverlap="1" wp14:anchorId="34BCEB02" wp14:editId="4E906904">
          <wp:simplePos x="0" y="0"/>
          <wp:positionH relativeFrom="column">
            <wp:posOffset>-362267</wp:posOffset>
          </wp:positionH>
          <wp:positionV relativeFrom="paragraph">
            <wp:posOffset>-224790</wp:posOffset>
          </wp:positionV>
          <wp:extent cx="5829300" cy="5340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9300" cy="5340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8C86" w14:textId="2A0007C5" w:rsidR="002776AA" w:rsidRDefault="002776AA">
    <w:pPr>
      <w:pStyle w:val="Piedepgina"/>
    </w:pPr>
    <w:r w:rsidRPr="00B33A29">
      <w:rPr>
        <w:noProof/>
      </w:rPr>
      <w:drawing>
        <wp:anchor distT="0" distB="0" distL="114300" distR="114300" simplePos="0" relativeHeight="251658244" behindDoc="1" locked="0" layoutInCell="1" allowOverlap="1" wp14:anchorId="4F8118C6" wp14:editId="46FEF56D">
          <wp:simplePos x="0" y="0"/>
          <wp:positionH relativeFrom="margin">
            <wp:posOffset>-432435</wp:posOffset>
          </wp:positionH>
          <wp:positionV relativeFrom="margin">
            <wp:posOffset>7814945</wp:posOffset>
          </wp:positionV>
          <wp:extent cx="5817600" cy="532800"/>
          <wp:effectExtent l="0" t="0" r="0" b="635"/>
          <wp:wrapSquare wrapText="bothSides"/>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17600" cy="53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4265" w14:textId="77777777" w:rsidR="00E71F3A" w:rsidRDefault="00E71F3A" w:rsidP="00366E6F">
      <w:r>
        <w:separator/>
      </w:r>
    </w:p>
  </w:footnote>
  <w:footnote w:type="continuationSeparator" w:id="0">
    <w:p w14:paraId="27046890" w14:textId="77777777" w:rsidR="00E71F3A" w:rsidRDefault="00E71F3A" w:rsidP="00366E6F">
      <w:r>
        <w:continuationSeparator/>
      </w:r>
    </w:p>
  </w:footnote>
  <w:footnote w:type="continuationNotice" w:id="1">
    <w:p w14:paraId="08D0E546" w14:textId="77777777" w:rsidR="00E71F3A" w:rsidRDefault="00E71F3A"/>
  </w:footnote>
  <w:footnote w:id="2">
    <w:p w14:paraId="450F5462" w14:textId="5D85537F" w:rsidR="00C83259" w:rsidRDefault="00C83259" w:rsidP="00724441">
      <w:pPr>
        <w:pStyle w:val="Textonotapie"/>
        <w:jc w:val="both"/>
      </w:pPr>
      <w:r w:rsidRPr="00660D73">
        <w:rPr>
          <w:rStyle w:val="Refdenotaalpie"/>
          <w:sz w:val="16"/>
          <w:szCs w:val="16"/>
        </w:rPr>
        <w:footnoteRef/>
      </w:r>
      <w:r w:rsidRPr="002175E2">
        <w:rPr>
          <w:rFonts w:ascii="Myriad Pro" w:hAnsi="Myriad Pro"/>
          <w:sz w:val="16"/>
          <w:szCs w:val="16"/>
        </w:rPr>
        <w:t xml:space="preserve"> El presente informe se preparó sobre la base de los estados financieros terminados al 30 de </w:t>
      </w:r>
      <w:r w:rsidR="002175E2">
        <w:rPr>
          <w:rFonts w:ascii="Myriad Pro" w:hAnsi="Myriad Pro"/>
          <w:sz w:val="16"/>
          <w:szCs w:val="16"/>
        </w:rPr>
        <w:t>junio</w:t>
      </w:r>
      <w:r w:rsidRPr="002175E2">
        <w:rPr>
          <w:rFonts w:ascii="Myriad Pro" w:hAnsi="Myriad Pro"/>
          <w:sz w:val="16"/>
          <w:szCs w:val="16"/>
        </w:rPr>
        <w:t xml:space="preserve"> de 202</w:t>
      </w:r>
      <w:r w:rsidR="002175E2">
        <w:rPr>
          <w:rFonts w:ascii="Myriad Pro" w:hAnsi="Myriad Pro"/>
          <w:sz w:val="16"/>
          <w:szCs w:val="16"/>
        </w:rPr>
        <w:t>1</w:t>
      </w:r>
      <w:r w:rsidRPr="002175E2">
        <w:rPr>
          <w:rFonts w:ascii="Myriad Pro" w:hAnsi="Myriad Pro"/>
          <w:sz w:val="16"/>
          <w:szCs w:val="16"/>
        </w:rPr>
        <w:t>. Para efectos de presentación se han incorporado los estados financieros al 3</w:t>
      </w:r>
      <w:r w:rsidR="00724441">
        <w:rPr>
          <w:rFonts w:ascii="Myriad Pro" w:hAnsi="Myriad Pro"/>
          <w:sz w:val="16"/>
          <w:szCs w:val="16"/>
        </w:rPr>
        <w:t>0</w:t>
      </w:r>
      <w:r w:rsidRPr="002175E2">
        <w:rPr>
          <w:rFonts w:ascii="Myriad Pro" w:hAnsi="Myriad Pro"/>
          <w:sz w:val="16"/>
          <w:szCs w:val="16"/>
        </w:rPr>
        <w:t xml:space="preserve"> de </w:t>
      </w:r>
      <w:r w:rsidR="00724441">
        <w:rPr>
          <w:rFonts w:ascii="Myriad Pro" w:hAnsi="Myriad Pro"/>
          <w:sz w:val="16"/>
          <w:szCs w:val="16"/>
        </w:rPr>
        <w:t>septiembre</w:t>
      </w:r>
      <w:r w:rsidRPr="002175E2">
        <w:rPr>
          <w:rFonts w:ascii="Myriad Pro" w:hAnsi="Myriad Pro"/>
          <w:sz w:val="16"/>
          <w:szCs w:val="16"/>
        </w:rPr>
        <w:t xml:space="preserve"> de 202</w:t>
      </w:r>
      <w:r w:rsidR="00724441">
        <w:rPr>
          <w:rFonts w:ascii="Myriad Pro" w:hAnsi="Myriad Pro"/>
          <w:sz w:val="16"/>
          <w:szCs w:val="16"/>
        </w:rPr>
        <w:t>1</w:t>
      </w:r>
      <w:r w:rsidRPr="002175E2">
        <w:rPr>
          <w:rFonts w:ascii="Myriad Pro" w:hAnsi="Myriad Pro"/>
          <w:sz w:val="16"/>
          <w:szCs w:val="16"/>
        </w:rPr>
        <w:t xml:space="preserve">, los cuales, de acuerdo con los análisis previamente efectuados, no afectan la categoría de riesgo asignada. Cabe destacar que el proceso de clasificación de </w:t>
      </w:r>
      <w:r w:rsidRPr="00724441">
        <w:rPr>
          <w:rFonts w:ascii="Myriad Pro" w:hAnsi="Myriad Pro"/>
          <w:b/>
          <w:bCs/>
          <w:i/>
          <w:iCs/>
          <w:sz w:val="16"/>
          <w:szCs w:val="16"/>
        </w:rPr>
        <w:t>Humphreys</w:t>
      </w:r>
      <w:r w:rsidRPr="002175E2">
        <w:rPr>
          <w:rFonts w:ascii="Myriad Pro" w:hAnsi="Myriad Pro"/>
          <w:sz w:val="16"/>
          <w:szCs w:val="16"/>
        </w:rPr>
        <w:t xml:space="preserve"> está basado en los aspectos estructurales del emisor, con un enfoque de largo plazo, por lo cual los resultados de un ejercicio en particular no afectan, necesariamente, la opinión de la clasificadora.</w:t>
      </w:r>
    </w:p>
  </w:footnote>
  <w:footnote w:id="3">
    <w:p w14:paraId="74B37DD7" w14:textId="4F0D0913" w:rsidR="00B2757C" w:rsidRDefault="00B2757C">
      <w:pPr>
        <w:pStyle w:val="Textonotapie"/>
      </w:pPr>
      <w:r w:rsidRPr="00431173">
        <w:rPr>
          <w:rStyle w:val="Refdenotaalpie"/>
          <w:rFonts w:ascii="Myriad Pro" w:hAnsi="Myriad Pro"/>
          <w:sz w:val="16"/>
          <w:szCs w:val="16"/>
        </w:rPr>
        <w:footnoteRef/>
      </w:r>
      <w:r w:rsidRPr="00431173">
        <w:rPr>
          <w:rStyle w:val="Refdenotaalpie"/>
          <w:rFonts w:ascii="Myriad Pro" w:hAnsi="Myriad Pro"/>
          <w:sz w:val="16"/>
          <w:szCs w:val="16"/>
        </w:rPr>
        <w:t xml:space="preserve"> </w:t>
      </w:r>
      <w:r>
        <w:rPr>
          <w:rFonts w:ascii="Myriad Pro" w:hAnsi="Myriad Pro"/>
          <w:sz w:val="16"/>
          <w:szCs w:val="16"/>
        </w:rPr>
        <w:t>EBITDA calculado como ganancia bruta – gastos de administración - o</w:t>
      </w:r>
      <w:r w:rsidRPr="00152930">
        <w:rPr>
          <w:rFonts w:ascii="Myriad Pro" w:hAnsi="Myriad Pro"/>
          <w:sz w:val="16"/>
          <w:szCs w:val="16"/>
        </w:rPr>
        <w:t>tros gastos, por función</w:t>
      </w:r>
      <w:r>
        <w:rPr>
          <w:rFonts w:ascii="Myriad Pro" w:hAnsi="Myriad Pro"/>
          <w:sz w:val="16"/>
          <w:szCs w:val="16"/>
        </w:rPr>
        <w:t xml:space="preserve"> + depreciación.</w:t>
      </w:r>
    </w:p>
  </w:footnote>
  <w:footnote w:id="4">
    <w:p w14:paraId="43714434" w14:textId="6D7D6550" w:rsidR="006E5945" w:rsidRPr="006E5945" w:rsidRDefault="006E5945">
      <w:pPr>
        <w:pStyle w:val="Textonotapie"/>
        <w:rPr>
          <w:rFonts w:ascii="Myriad Pro" w:hAnsi="Myriad Pro"/>
          <w:sz w:val="16"/>
          <w:szCs w:val="16"/>
        </w:rPr>
      </w:pPr>
      <w:r w:rsidRPr="006E5945">
        <w:rPr>
          <w:rStyle w:val="Refdenotaalpie"/>
          <w:rFonts w:ascii="Myriad Pro" w:hAnsi="Myriad Pro"/>
          <w:sz w:val="16"/>
          <w:szCs w:val="16"/>
        </w:rPr>
        <w:footnoteRef/>
      </w:r>
      <w:r w:rsidRPr="006E5945">
        <w:rPr>
          <w:rFonts w:ascii="Myriad Pro" w:hAnsi="Myriad Pro"/>
          <w:sz w:val="16"/>
          <w:szCs w:val="16"/>
        </w:rPr>
        <w:t xml:space="preserve"> </w:t>
      </w:r>
      <w:r w:rsidRPr="005B6C2E">
        <w:rPr>
          <w:rFonts w:ascii="Myriad Pro" w:hAnsi="Myriad Pro"/>
          <w:sz w:val="16"/>
          <w:szCs w:val="16"/>
        </w:rPr>
        <w:t xml:space="preserve">Incluye </w:t>
      </w:r>
      <w:r w:rsidR="00564D33" w:rsidRPr="005B6C2E">
        <w:rPr>
          <w:rFonts w:ascii="Myriad Pro" w:hAnsi="Myriad Pro"/>
          <w:sz w:val="16"/>
          <w:szCs w:val="16"/>
        </w:rPr>
        <w:t>pasivos</w:t>
      </w:r>
      <w:r w:rsidR="00564D33">
        <w:rPr>
          <w:rFonts w:ascii="Myriad Pro" w:hAnsi="Myriad Pro"/>
          <w:sz w:val="16"/>
          <w:szCs w:val="16"/>
        </w:rPr>
        <w:t xml:space="preserve"> por arrendamiento </w:t>
      </w:r>
      <w:r w:rsidR="008F6E28">
        <w:rPr>
          <w:rFonts w:ascii="Myriad Pro" w:hAnsi="Myriad Pro"/>
          <w:sz w:val="16"/>
          <w:szCs w:val="16"/>
        </w:rPr>
        <w:t>en 2019, 2020 y 2021</w:t>
      </w:r>
      <w:r w:rsidR="006357CD">
        <w:rPr>
          <w:rFonts w:ascii="Myriad Pro" w:hAnsi="Myriad Pro"/>
          <w:sz w:val="16"/>
          <w:szCs w:val="16"/>
        </w:rPr>
        <w:t xml:space="preserve"> por </w:t>
      </w:r>
      <w:r w:rsidR="00B35F0C">
        <w:rPr>
          <w:rFonts w:ascii="Myriad Pro" w:hAnsi="Myriad Pro"/>
          <w:sz w:val="16"/>
          <w:szCs w:val="16"/>
        </w:rPr>
        <w:t xml:space="preserve">$ </w:t>
      </w:r>
      <w:r w:rsidR="00B35F0C" w:rsidRPr="00B35F0C">
        <w:rPr>
          <w:rFonts w:ascii="Myriad Pro" w:hAnsi="Myriad Pro"/>
          <w:sz w:val="16"/>
          <w:szCs w:val="16"/>
        </w:rPr>
        <w:t>28.607</w:t>
      </w:r>
      <w:proofErr w:type="gramStart"/>
      <w:r w:rsidR="006357CD">
        <w:rPr>
          <w:rFonts w:ascii="Myriad Pro" w:hAnsi="Myriad Pro"/>
          <w:sz w:val="16"/>
          <w:szCs w:val="16"/>
        </w:rPr>
        <w:t xml:space="preserve">, </w:t>
      </w:r>
      <w:r w:rsidR="004D106C">
        <w:rPr>
          <w:rFonts w:ascii="Myriad Pro" w:hAnsi="Myriad Pro"/>
          <w:sz w:val="16"/>
          <w:szCs w:val="16"/>
        </w:rPr>
        <w:t xml:space="preserve"> $</w:t>
      </w:r>
      <w:proofErr w:type="gramEnd"/>
      <w:r w:rsidR="004D106C">
        <w:rPr>
          <w:rFonts w:ascii="Myriad Pro" w:hAnsi="Myriad Pro"/>
          <w:sz w:val="16"/>
          <w:szCs w:val="16"/>
        </w:rPr>
        <w:t xml:space="preserve"> </w:t>
      </w:r>
      <w:r w:rsidR="004D106C" w:rsidRPr="004D106C">
        <w:rPr>
          <w:rFonts w:ascii="Myriad Pro" w:hAnsi="Myriad Pro"/>
          <w:sz w:val="16"/>
          <w:szCs w:val="16"/>
        </w:rPr>
        <w:t xml:space="preserve">26.867 </w:t>
      </w:r>
      <w:r w:rsidR="006357CD">
        <w:rPr>
          <w:rFonts w:ascii="Myriad Pro" w:hAnsi="Myriad Pro"/>
          <w:sz w:val="16"/>
          <w:szCs w:val="16"/>
        </w:rPr>
        <w:t xml:space="preserve"> y </w:t>
      </w:r>
      <w:r w:rsidR="004D106C">
        <w:rPr>
          <w:rFonts w:ascii="Myriad Pro" w:hAnsi="Myriad Pro"/>
          <w:sz w:val="16"/>
          <w:szCs w:val="16"/>
        </w:rPr>
        <w:t xml:space="preserve">$ </w:t>
      </w:r>
      <w:r w:rsidR="004D106C" w:rsidRPr="004D106C">
        <w:rPr>
          <w:rFonts w:ascii="Myriad Pro" w:hAnsi="Myriad Pro"/>
          <w:sz w:val="16"/>
          <w:szCs w:val="16"/>
        </w:rPr>
        <w:t xml:space="preserve">28.277 </w:t>
      </w:r>
      <w:r w:rsidR="004D106C">
        <w:rPr>
          <w:rFonts w:ascii="Myriad Pro" w:hAnsi="Myriad Pro"/>
          <w:sz w:val="16"/>
          <w:szCs w:val="16"/>
        </w:rPr>
        <w:t>millones</w:t>
      </w:r>
      <w:r w:rsidR="006357CD">
        <w:rPr>
          <w:rFonts w:ascii="Myriad Pro" w:hAnsi="Myriad Pro"/>
          <w:sz w:val="16"/>
          <w:szCs w:val="16"/>
        </w:rPr>
        <w:t>, respectivamente</w:t>
      </w:r>
      <w:r w:rsidR="008F6E28">
        <w:rPr>
          <w:rFonts w:ascii="Myriad Pro" w:hAnsi="Myriad Pro"/>
          <w:sz w:val="16"/>
          <w:szCs w:val="16"/>
        </w:rPr>
        <w:t>.</w:t>
      </w:r>
    </w:p>
  </w:footnote>
  <w:footnote w:id="5">
    <w:p w14:paraId="54571E46" w14:textId="77777777" w:rsidR="00636A3A" w:rsidRDefault="00636A3A" w:rsidP="00636A3A">
      <w:pPr>
        <w:pStyle w:val="Textonotapie"/>
      </w:pPr>
      <w:r w:rsidRPr="002D44E8">
        <w:rPr>
          <w:rStyle w:val="Refdenotaalpie"/>
          <w:rFonts w:ascii="Myriad Pro" w:hAnsi="Myriad Pro"/>
          <w:sz w:val="16"/>
          <w:szCs w:val="16"/>
        </w:rPr>
        <w:footnoteRef/>
      </w:r>
      <w:r>
        <w:t xml:space="preserve"> </w:t>
      </w:r>
      <w:r>
        <w:rPr>
          <w:rFonts w:ascii="Myriad Pro" w:hAnsi="Myriad Pro"/>
          <w:sz w:val="16"/>
          <w:szCs w:val="16"/>
        </w:rPr>
        <w:t>EBITDA calculado como ganancia bruta – gastos de administración - o</w:t>
      </w:r>
      <w:r w:rsidRPr="00152930">
        <w:rPr>
          <w:rFonts w:ascii="Myriad Pro" w:hAnsi="Myriad Pro"/>
          <w:sz w:val="16"/>
          <w:szCs w:val="16"/>
        </w:rPr>
        <w:t>tros gastos por función</w:t>
      </w:r>
      <w:r>
        <w:rPr>
          <w:rFonts w:ascii="Myriad Pro" w:hAnsi="Myriad Pro"/>
          <w:sz w:val="16"/>
          <w:szCs w:val="16"/>
        </w:rPr>
        <w:t xml:space="preserve"> + depreciación.</w:t>
      </w:r>
    </w:p>
  </w:footnote>
  <w:footnote w:id="6">
    <w:p w14:paraId="4C069A6A" w14:textId="046D37BE" w:rsidR="00660D73" w:rsidRPr="00660D73" w:rsidRDefault="0080306D" w:rsidP="00660D73">
      <w:pPr>
        <w:pStyle w:val="Textonotapie"/>
        <w:jc w:val="both"/>
        <w:rPr>
          <w:rFonts w:ascii="Myriad Pro" w:hAnsi="Myriad Pro"/>
          <w:sz w:val="16"/>
          <w:szCs w:val="16"/>
        </w:rPr>
      </w:pPr>
      <w:r w:rsidRPr="00660D73">
        <w:rPr>
          <w:rStyle w:val="Refdenotaalpie"/>
          <w:rFonts w:ascii="Myriad Pro" w:hAnsi="Myriad Pro"/>
          <w:sz w:val="16"/>
          <w:szCs w:val="16"/>
        </w:rPr>
        <w:footnoteRef/>
      </w:r>
      <w:r w:rsidRPr="00660D73">
        <w:rPr>
          <w:rStyle w:val="Refdenotaalpie"/>
          <w:rFonts w:ascii="Myriad Pro" w:hAnsi="Myriad Pro"/>
          <w:sz w:val="16"/>
          <w:szCs w:val="16"/>
        </w:rPr>
        <w:t xml:space="preserve"> </w:t>
      </w:r>
      <w:proofErr w:type="spellStart"/>
      <w:r w:rsidR="00892A21" w:rsidRPr="00660D73">
        <w:rPr>
          <w:rFonts w:ascii="Myriad Pro" w:hAnsi="Myriad Pro"/>
          <w:sz w:val="16"/>
          <w:szCs w:val="16"/>
        </w:rPr>
        <w:t>Klipen</w:t>
      </w:r>
      <w:proofErr w:type="spellEnd"/>
      <w:r w:rsidR="00660D73" w:rsidRPr="00660D73">
        <w:rPr>
          <w:rFonts w:ascii="Myriad Pro" w:hAnsi="Myriad Pro"/>
          <w:sz w:val="16"/>
          <w:szCs w:val="16"/>
        </w:rPr>
        <w:t xml:space="preserve">, fundada en 2007, como una asociación de compañías latinoamericanas ubicadas en Chile, Perú, Colombia, Bolivia, Uruguay, Guatemala, Salvador y Nicaragua, con el fin de comprar insumos de mejoramiento del hogar a gran escala en </w:t>
      </w:r>
      <w:proofErr w:type="spellStart"/>
      <w:r w:rsidR="00660D73" w:rsidRPr="00660D73">
        <w:rPr>
          <w:rFonts w:ascii="Myriad Pro" w:hAnsi="Myriad Pro"/>
          <w:sz w:val="16"/>
          <w:szCs w:val="16"/>
        </w:rPr>
        <w:t>mas</w:t>
      </w:r>
      <w:proofErr w:type="spellEnd"/>
      <w:r w:rsidR="00660D73" w:rsidRPr="00660D73">
        <w:rPr>
          <w:rFonts w:ascii="Myriad Pro" w:hAnsi="Myriad Pro"/>
          <w:sz w:val="16"/>
          <w:szCs w:val="16"/>
        </w:rPr>
        <w:t xml:space="preserve"> de 200 fábricas en todo el mundo.</w:t>
      </w:r>
    </w:p>
    <w:p w14:paraId="7FFAC3FB" w14:textId="345EB072" w:rsidR="0080306D" w:rsidRPr="00660D73" w:rsidRDefault="0080306D">
      <w:pPr>
        <w:pStyle w:val="Textonotapie"/>
        <w:rPr>
          <w:lang w:val="es-CL"/>
        </w:rPr>
      </w:pPr>
    </w:p>
  </w:footnote>
  <w:footnote w:id="7">
    <w:p w14:paraId="283FDE29" w14:textId="77777777" w:rsidR="00875B40" w:rsidRPr="009D6A80" w:rsidRDefault="00875B40" w:rsidP="00875B40">
      <w:pPr>
        <w:pStyle w:val="Textonotapie"/>
        <w:rPr>
          <w:rFonts w:ascii="Myriad Pro" w:hAnsi="Myriad Pro"/>
          <w:sz w:val="16"/>
          <w:szCs w:val="16"/>
        </w:rPr>
      </w:pPr>
      <w:r w:rsidRPr="009D6A80">
        <w:rPr>
          <w:rStyle w:val="Refdenotaalpie"/>
          <w:rFonts w:ascii="Myriad Pro" w:hAnsi="Myriad Pro"/>
          <w:sz w:val="16"/>
          <w:szCs w:val="16"/>
        </w:rPr>
        <w:footnoteRef/>
      </w:r>
      <w:r w:rsidRPr="009D6A80">
        <w:rPr>
          <w:rFonts w:ascii="Myriad Pro" w:hAnsi="Myriad Pro"/>
          <w:sz w:val="16"/>
          <w:szCs w:val="16"/>
        </w:rPr>
        <w:t xml:space="preserve"> </w:t>
      </w:r>
      <w:r w:rsidRPr="00EE30C6">
        <w:rPr>
          <w:rFonts w:ascii="Myriad Pro" w:hAnsi="Myriad Pro"/>
          <w:sz w:val="16"/>
          <w:szCs w:val="16"/>
        </w:rPr>
        <w:t>Los contratos OEM son acuerdos entre la empresa que va a comercializar el producto bajo su marca, con la empresa que lo fabrica</w:t>
      </w:r>
      <w:r>
        <w:rPr>
          <w:rFonts w:ascii="Myriad Pro" w:hAnsi="Myriad Pro"/>
          <w:sz w:val="16"/>
          <w:szCs w:val="16"/>
        </w:rPr>
        <w:t>.</w:t>
      </w:r>
    </w:p>
  </w:footnote>
  <w:footnote w:id="8">
    <w:p w14:paraId="6D1E3333" w14:textId="77777777" w:rsidR="00A12EC9" w:rsidRDefault="00A12EC9" w:rsidP="00A12EC9">
      <w:pPr>
        <w:pStyle w:val="Textonotapie"/>
      </w:pPr>
      <w:r w:rsidRPr="000D39F1">
        <w:rPr>
          <w:rFonts w:ascii="Myriad Pro" w:hAnsi="Myriad Pro"/>
          <w:sz w:val="16"/>
          <w:szCs w:val="16"/>
          <w:vertAlign w:val="superscript"/>
        </w:rPr>
        <w:footnoteRef/>
      </w:r>
      <w:r>
        <w:t xml:space="preserve"> </w:t>
      </w:r>
      <w:proofErr w:type="gramStart"/>
      <w:r w:rsidRPr="00B01023">
        <w:rPr>
          <w:rFonts w:ascii="Myriad Pro" w:hAnsi="Myriad Pro"/>
          <w:sz w:val="16"/>
          <w:szCs w:val="16"/>
        </w:rPr>
        <w:t>De acuerdo a</w:t>
      </w:r>
      <w:proofErr w:type="gramEnd"/>
      <w:r w:rsidRPr="00B01023">
        <w:rPr>
          <w:rFonts w:ascii="Myriad Pro" w:hAnsi="Myriad Pro"/>
          <w:sz w:val="16"/>
          <w:szCs w:val="16"/>
        </w:rPr>
        <w:t xml:space="preserve"> estimaciones de la firma emisora.</w:t>
      </w:r>
    </w:p>
  </w:footnote>
  <w:footnote w:id="9">
    <w:p w14:paraId="409091D0" w14:textId="08AD4712" w:rsidR="00ED7AD2" w:rsidRPr="00C03B42" w:rsidRDefault="00ED7AD2">
      <w:pPr>
        <w:pStyle w:val="Textonotapie"/>
        <w:rPr>
          <w:rFonts w:ascii="Myriad Pro" w:hAnsi="Myriad Pro"/>
          <w:sz w:val="16"/>
          <w:szCs w:val="16"/>
        </w:rPr>
      </w:pPr>
      <w:r w:rsidRPr="00C03B42">
        <w:rPr>
          <w:rFonts w:ascii="Myriad Pro" w:eastAsiaTheme="minorHAnsi" w:hAnsi="Myriad Pro" w:cstheme="minorBidi"/>
          <w:sz w:val="16"/>
          <w:szCs w:val="16"/>
          <w:vertAlign w:val="superscript"/>
          <w:lang w:val="es-CL" w:eastAsia="en-US"/>
        </w:rPr>
        <w:footnoteRef/>
      </w:r>
      <w:r w:rsidRPr="00C03B42">
        <w:rPr>
          <w:rFonts w:ascii="Myriad Pro" w:eastAsiaTheme="minorHAnsi" w:hAnsi="Myriad Pro" w:cstheme="minorBidi"/>
          <w:sz w:val="16"/>
          <w:szCs w:val="16"/>
          <w:lang w:val="es-CL" w:eastAsia="en-US"/>
        </w:rPr>
        <w:t xml:space="preserve"> Las cifras presentadas en este acápite han sido corregidas a pesos del último período para efectos de comparación histórica.</w:t>
      </w:r>
    </w:p>
  </w:footnote>
  <w:footnote w:id="10">
    <w:p w14:paraId="13B53822" w14:textId="4572F36B" w:rsidR="003C1F4D" w:rsidRPr="003C1F4D" w:rsidRDefault="003C1F4D" w:rsidP="007C18CE">
      <w:pPr>
        <w:pStyle w:val="Textonotapie"/>
        <w:jc w:val="both"/>
        <w:rPr>
          <w:sz w:val="16"/>
          <w:szCs w:val="16"/>
          <w:vertAlign w:val="superscript"/>
        </w:rPr>
      </w:pPr>
      <w:r w:rsidRPr="00C03B42">
        <w:rPr>
          <w:rFonts w:ascii="Myriad Pro" w:eastAsiaTheme="minorHAnsi" w:hAnsi="Myriad Pro" w:cstheme="minorBidi"/>
          <w:sz w:val="16"/>
          <w:szCs w:val="16"/>
          <w:vertAlign w:val="superscript"/>
          <w:lang w:val="es-CL" w:eastAsia="en-US"/>
        </w:rPr>
        <w:footnoteRef/>
      </w:r>
      <w:r w:rsidRPr="00C03B42">
        <w:rPr>
          <w:rFonts w:ascii="Myriad Pro" w:eastAsiaTheme="minorHAnsi" w:hAnsi="Myriad Pro" w:cstheme="minorBidi"/>
          <w:sz w:val="16"/>
          <w:szCs w:val="16"/>
          <w:vertAlign w:val="superscript"/>
          <w:lang w:val="es-CL" w:eastAsia="en-US"/>
        </w:rPr>
        <w:t xml:space="preserve"> </w:t>
      </w:r>
      <w:r w:rsidR="00C713F7" w:rsidRPr="00C03B42">
        <w:rPr>
          <w:rFonts w:ascii="Myriad Pro" w:eastAsiaTheme="minorHAnsi" w:hAnsi="Myriad Pro" w:cstheme="minorBidi"/>
          <w:sz w:val="16"/>
          <w:szCs w:val="16"/>
          <w:lang w:val="es-CL" w:eastAsia="en-US"/>
        </w:rPr>
        <w:t>Rentabilidad activos = utilidad del ejercicio anual móvil deflactada / activos promedio (</w:t>
      </w:r>
      <w:r w:rsidR="00F56F57">
        <w:rPr>
          <w:rFonts w:ascii="Myriad Pro" w:eastAsiaTheme="minorHAnsi" w:hAnsi="Myriad Pro" w:cstheme="minorBidi"/>
          <w:sz w:val="16"/>
          <w:szCs w:val="16"/>
          <w:lang w:val="es-CL" w:eastAsia="en-US"/>
        </w:rPr>
        <w:t>junio</w:t>
      </w:r>
      <w:r w:rsidR="00C713F7" w:rsidRPr="00C03B42">
        <w:rPr>
          <w:rFonts w:ascii="Myriad Pro" w:eastAsiaTheme="minorHAnsi" w:hAnsi="Myriad Pro" w:cstheme="minorBidi"/>
          <w:sz w:val="16"/>
          <w:szCs w:val="16"/>
          <w:lang w:val="es-CL" w:eastAsia="en-US"/>
        </w:rPr>
        <w:t xml:space="preserve"> 2020 y </w:t>
      </w:r>
      <w:r w:rsidR="00F56F57">
        <w:rPr>
          <w:rFonts w:ascii="Myriad Pro" w:eastAsiaTheme="minorHAnsi" w:hAnsi="Myriad Pro" w:cstheme="minorBidi"/>
          <w:sz w:val="16"/>
          <w:szCs w:val="16"/>
          <w:lang w:val="es-CL" w:eastAsia="en-US"/>
        </w:rPr>
        <w:t>junio</w:t>
      </w:r>
      <w:r w:rsidR="00C713F7" w:rsidRPr="00C03B42">
        <w:rPr>
          <w:rFonts w:ascii="Myriad Pro" w:eastAsiaTheme="minorHAnsi" w:hAnsi="Myriad Pro" w:cstheme="minorBidi"/>
          <w:sz w:val="16"/>
          <w:szCs w:val="16"/>
          <w:lang w:val="es-CL" w:eastAsia="en-US"/>
        </w:rPr>
        <w:t xml:space="preserve"> 2021); Rentabilidad patrimonio = utilidad del ejercicio anual móvil deflactada / patrimonio total promedio (</w:t>
      </w:r>
      <w:r w:rsidR="00F56F57">
        <w:rPr>
          <w:rFonts w:ascii="Myriad Pro" w:eastAsiaTheme="minorHAnsi" w:hAnsi="Myriad Pro" w:cstheme="minorBidi"/>
          <w:sz w:val="16"/>
          <w:szCs w:val="16"/>
          <w:lang w:val="es-CL" w:eastAsia="en-US"/>
        </w:rPr>
        <w:t>junio</w:t>
      </w:r>
      <w:r w:rsidR="00C713F7" w:rsidRPr="00C03B42">
        <w:rPr>
          <w:rFonts w:ascii="Myriad Pro" w:eastAsiaTheme="minorHAnsi" w:hAnsi="Myriad Pro" w:cstheme="minorBidi"/>
          <w:sz w:val="16"/>
          <w:szCs w:val="16"/>
          <w:lang w:val="es-CL" w:eastAsia="en-US"/>
        </w:rPr>
        <w:t xml:space="preserve"> 2020 y </w:t>
      </w:r>
      <w:r w:rsidR="00F56F57">
        <w:rPr>
          <w:rFonts w:ascii="Myriad Pro" w:eastAsiaTheme="minorHAnsi" w:hAnsi="Myriad Pro" w:cstheme="minorBidi"/>
          <w:sz w:val="16"/>
          <w:szCs w:val="16"/>
          <w:lang w:val="es-CL" w:eastAsia="en-US"/>
        </w:rPr>
        <w:t>junio</w:t>
      </w:r>
      <w:r w:rsidR="00C713F7" w:rsidRPr="00C03B42">
        <w:rPr>
          <w:rFonts w:ascii="Myriad Pro" w:eastAsiaTheme="minorHAnsi" w:hAnsi="Myriad Pro" w:cstheme="minorBidi"/>
          <w:sz w:val="16"/>
          <w:szCs w:val="16"/>
          <w:lang w:val="es-CL" w:eastAsia="en-US"/>
        </w:rPr>
        <w:t xml:space="preserv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D5A" w14:textId="396BD515" w:rsidR="00DE23AE" w:rsidRDefault="00DE23AE" w:rsidP="00D97DE5">
    <w:pPr>
      <w:pStyle w:val="Encabezado"/>
      <w:framePr w:wrap="none" w:vAnchor="text" w:hAnchor="margin" w:xAlign="right" w:y="1"/>
      <w:rPr>
        <w:rStyle w:val="Nmerodepgina"/>
      </w:rPr>
    </w:pPr>
  </w:p>
  <w:sdt>
    <w:sdtPr>
      <w:rPr>
        <w:rStyle w:val="Nmerodepgina"/>
      </w:rPr>
      <w:id w:val="-1020847557"/>
      <w:docPartObj>
        <w:docPartGallery w:val="Page Numbers (Top of Page)"/>
        <w:docPartUnique/>
      </w:docPartObj>
    </w:sdtPr>
    <w:sdtEndPr>
      <w:rPr>
        <w:rStyle w:val="Nmerodepgina"/>
      </w:rPr>
    </w:sdtEndPr>
    <w:sdtContent>
      <w:p w14:paraId="50FC030D" w14:textId="77777777" w:rsidR="00DE23AE" w:rsidRDefault="00DE23AE" w:rsidP="00D97DE5">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1300C52" w14:textId="77777777" w:rsidR="00DE23AE" w:rsidRDefault="00DE23AE" w:rsidP="00DE23A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9471" w14:textId="78DA6842" w:rsidR="002776AA" w:rsidRDefault="002776AA" w:rsidP="00DE23AE">
    <w:pPr>
      <w:tabs>
        <w:tab w:val="left" w:pos="1440"/>
      </w:tabs>
      <w:ind w:right="360"/>
    </w:pPr>
    <w:r>
      <w:rPr>
        <w:noProof/>
      </w:rPr>
      <mc:AlternateContent>
        <mc:Choice Requires="wps">
          <w:drawing>
            <wp:anchor distT="0" distB="0" distL="114300" distR="114300" simplePos="0" relativeHeight="251658245" behindDoc="0" locked="0" layoutInCell="1" allowOverlap="1" wp14:anchorId="1CDC7BDF" wp14:editId="5E8A812A">
              <wp:simplePos x="0" y="0"/>
              <wp:positionH relativeFrom="column">
                <wp:posOffset>-800735</wp:posOffset>
              </wp:positionH>
              <wp:positionV relativeFrom="paragraph">
                <wp:posOffset>-448945</wp:posOffset>
              </wp:positionV>
              <wp:extent cx="381000" cy="1320800"/>
              <wp:effectExtent l="0" t="0" r="0" b="0"/>
              <wp:wrapNone/>
              <wp:docPr id="18" name="Rectángulo 18"/>
              <wp:cNvGraphicFramePr/>
              <a:graphic xmlns:a="http://schemas.openxmlformats.org/drawingml/2006/main">
                <a:graphicData uri="http://schemas.microsoft.com/office/word/2010/wordprocessingShape">
                  <wps:wsp>
                    <wps:cNvSpPr/>
                    <wps:spPr>
                      <a:xfrm>
                        <a:off x="0" y="0"/>
                        <a:ext cx="381000" cy="1320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CA224" id="Rectángulo 18" o:spid="_x0000_s1026" style="position:absolute;margin-left:-63.05pt;margin-top:-35.35pt;width:30pt;height:1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nueQIAAF8FAAAOAAAAZHJzL2Uyb0RvYy54bWysVEtv2zAMvg/YfxB0X22n7dYFdYogRYcB&#10;RRusHXpWZCkxIIsapcTJfv0o+ZGsK3YYdpFF8ePHh0le3+wbw3YKfQ225MVZzpmyEqrarkv+/fnu&#10;wxVnPghbCQNWlfygPL+ZvX933bqpmsAGTKWQEYn109aVfBOCm2aZlxvVCH8GTllSasBGBBJxnVUo&#10;WmJvTDbJ849ZC1g5BKm8p9fbTslniV9rJcOj1l4FZkpOsYV0YjpX8cxm12K6RuE2tezDEP8QRSNq&#10;S05HqlsRBNti/QdVU0sEDzqcSWgy0LqWKuVA2RT5q2yeNsKplAsVx7uxTP7/0cqH3ZNbIpWhdX7q&#10;6Rqz2Gts4pfiY/tUrMNYLLUPTNLj+VWR51RSSarifJJfkUA02dHaoQ9fFDQsXkqO9DNSjcTu3ocO&#10;OkCiMw+mru5qY5KA69XCINsJ+nELcjSy/wYzNoItRLOOMb5kx1zSLRyMijhjvynN6oqin6RIUpup&#10;0Y+QUtlQdKqNqFTn/vLUe2zMaJEyTYSRWZP/kbsnGJAdycDdRdnjo6lKXToa538LrDMeLZJnsGE0&#10;bmoL+BaBoax6zx1+KFJXmlilFVSHJTKEbka8k3c1/bd74cNSIA0F/Wsa9PBIhzbQlhz6G2cbwJ9v&#10;vUc89SppOWtpyEruf2wFKs7MV0td/Lm4uIhTmYSLy08TEvBUszrV2G2zAGqHglaKk+ka8cEMV43Q&#10;vNA+mEevpBJWku+Sy4CDsAjd8NNGkWo+TzCaRCfCvX1yMpLHqsa+fN6/CHR98wZq+wcYBlJMX/Vw&#10;h42WFubbALpODX6sa19vmuLUOP3GiWviVE6o416c/QIAAP//AwBQSwMEFAAGAAgAAAAhAOX0B2Pg&#10;AAAADAEAAA8AAABkcnMvZG93bnJldi54bWxMj01Lw0AQhu+C/2EZwYukm7SQlJhNiaIgCILRg8dt&#10;dkxCd2dDdtvGf+/0pLf5eHjnmWq3OCtOOIfRk4JslYJA6rwZqVfw+fGcbEGEqMlo6wkV/GCAXX19&#10;VenS+DO946mNveAQCqVWMMQ4lVKGbkCnw8pPSLz79rPTkdu5l2bWZw53Vq7TNJdOj8QXBj3h44Dd&#10;oT06BdZsH/yTfdHNoWm/zNtrvDM2KnV7szT3ICIu8Q+Giz6rQ81Oe38kE4RVkGTrPGOWqyItQDCS&#10;5JfJntlNsQFZV/L/E/UvAAAA//8DAFBLAQItABQABgAIAAAAIQC2gziS/gAAAOEBAAATAAAAAAAA&#10;AAAAAAAAAAAAAABbQ29udGVudF9UeXBlc10ueG1sUEsBAi0AFAAGAAgAAAAhADj9If/WAAAAlAEA&#10;AAsAAAAAAAAAAAAAAAAALwEAAF9yZWxzLy5yZWxzUEsBAi0AFAAGAAgAAAAhAE4hie55AgAAXwUA&#10;AA4AAAAAAAAAAAAAAAAALgIAAGRycy9lMm9Eb2MueG1sUEsBAi0AFAAGAAgAAAAhAOX0B2PgAAAA&#10;DAEAAA8AAAAAAAAAAAAAAAAA0wQAAGRycy9kb3ducmV2LnhtbFBLBQYAAAAABAAEAPMAAADgBQAA&#10;AAA=&#10;" fillcolor="#c00000" stroked="f" strokeweight="1pt"/>
          </w:pict>
        </mc:Fallback>
      </mc:AlternateContent>
    </w:r>
    <w:r w:rsidRPr="00D269FC">
      <w:rPr>
        <w:noProof/>
      </w:rPr>
      <w:drawing>
        <wp:anchor distT="0" distB="0" distL="114300" distR="114300" simplePos="0" relativeHeight="251658242" behindDoc="1" locked="1" layoutInCell="1" allowOverlap="1" wp14:anchorId="71D7DE40" wp14:editId="435EAB83">
          <wp:simplePos x="0" y="0"/>
          <wp:positionH relativeFrom="margin">
            <wp:posOffset>4537710</wp:posOffset>
          </wp:positionH>
          <wp:positionV relativeFrom="margin">
            <wp:posOffset>6001385</wp:posOffset>
          </wp:positionV>
          <wp:extent cx="2585085" cy="2790825"/>
          <wp:effectExtent l="0" t="0" r="5715" b="3175"/>
          <wp:wrapNone/>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
                    <a:extLst>
                      <a:ext uri="{28A0092B-C50C-407E-A947-70E740481C1C}">
                        <a14:useLocalDpi xmlns:a14="http://schemas.microsoft.com/office/drawing/2010/main" val="0"/>
                      </a:ext>
                    </a:extLst>
                  </a:blip>
                  <a:srcRect l="9682" t="11225" r="19116" b="12418"/>
                  <a:stretch/>
                </pic:blipFill>
                <pic:spPr bwMode="auto">
                  <a:xfrm>
                    <a:off x="0" y="0"/>
                    <a:ext cx="258508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E6F">
      <w:rPr>
        <w:noProof/>
      </w:rPr>
      <w:drawing>
        <wp:anchor distT="0" distB="0" distL="114300" distR="114300" simplePos="0" relativeHeight="251658240" behindDoc="1" locked="1" layoutInCell="1" allowOverlap="0" wp14:anchorId="082CF3B1" wp14:editId="69247144">
          <wp:simplePos x="0" y="0"/>
          <wp:positionH relativeFrom="margin">
            <wp:posOffset>-393700</wp:posOffset>
          </wp:positionH>
          <wp:positionV relativeFrom="page">
            <wp:posOffset>166370</wp:posOffset>
          </wp:positionV>
          <wp:extent cx="2537460" cy="870585"/>
          <wp:effectExtent l="0" t="0" r="254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37460" cy="870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9017" w14:textId="3D2E6F2D" w:rsidR="00DE23AE" w:rsidRDefault="000179F4" w:rsidP="00D97DE5">
    <w:pPr>
      <w:pStyle w:val="Encabezado"/>
      <w:framePr w:wrap="none" w:vAnchor="text" w:hAnchor="margin" w:xAlign="right" w:y="1"/>
      <w:rPr>
        <w:rStyle w:val="Nmerodepgina"/>
      </w:rPr>
    </w:pPr>
    <w:sdt>
      <w:sdtPr>
        <w:rPr>
          <w:rStyle w:val="Nmerodepgina"/>
        </w:rPr>
        <w:id w:val="1364785740"/>
        <w:docPartObj>
          <w:docPartGallery w:val="Page Numbers (Top of Page)"/>
          <w:docPartUnique/>
        </w:docPartObj>
      </w:sdtPr>
      <w:sdtEndPr>
        <w:rPr>
          <w:rStyle w:val="Nmerodepgina"/>
        </w:rPr>
      </w:sdtEndPr>
      <w:sdtContent>
        <w:r w:rsidR="00DE23AE">
          <w:rPr>
            <w:rStyle w:val="Nmerodepgina"/>
          </w:rPr>
          <w:fldChar w:fldCharType="begin"/>
        </w:r>
        <w:r w:rsidR="00DE23AE">
          <w:rPr>
            <w:rStyle w:val="Nmerodepgina"/>
          </w:rPr>
          <w:instrText xml:space="preserve"> PAGE </w:instrText>
        </w:r>
        <w:r w:rsidR="00DE23AE">
          <w:rPr>
            <w:rStyle w:val="Nmerodepgina"/>
          </w:rPr>
          <w:fldChar w:fldCharType="separate"/>
        </w:r>
        <w:r w:rsidR="00DE23AE">
          <w:rPr>
            <w:rStyle w:val="Nmerodepgina"/>
            <w:noProof/>
          </w:rPr>
          <w:t>1</w:t>
        </w:r>
        <w:r w:rsidR="00DE23AE">
          <w:rPr>
            <w:rStyle w:val="Nmerodepgina"/>
          </w:rPr>
          <w:fldChar w:fldCharType="end"/>
        </w:r>
      </w:sdtContent>
    </w:sdt>
  </w:p>
  <w:p w14:paraId="3D720093" w14:textId="559FFC5A" w:rsidR="002776AA" w:rsidRDefault="00E10DEB" w:rsidP="00DE23AE">
    <w:pPr>
      <w:pStyle w:val="Encabezado"/>
      <w:ind w:right="360"/>
    </w:pPr>
    <w:r w:rsidRPr="00366E6F">
      <w:rPr>
        <w:noProof/>
      </w:rPr>
      <w:drawing>
        <wp:anchor distT="0" distB="0" distL="114300" distR="114300" simplePos="0" relativeHeight="251658246" behindDoc="1" locked="1" layoutInCell="1" allowOverlap="0" wp14:anchorId="75A0F749" wp14:editId="505D635A">
          <wp:simplePos x="0" y="0"/>
          <wp:positionH relativeFrom="margin">
            <wp:posOffset>-15240</wp:posOffset>
          </wp:positionH>
          <wp:positionV relativeFrom="page">
            <wp:posOffset>330200</wp:posOffset>
          </wp:positionV>
          <wp:extent cx="4100195" cy="1407160"/>
          <wp:effectExtent l="0" t="0" r="1905"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100195" cy="1407160"/>
                  </a:xfrm>
                  <a:prstGeom prst="rect">
                    <a:avLst/>
                  </a:prstGeom>
                </pic:spPr>
              </pic:pic>
            </a:graphicData>
          </a:graphic>
          <wp14:sizeRelH relativeFrom="page">
            <wp14:pctWidth>0</wp14:pctWidth>
          </wp14:sizeRelH>
          <wp14:sizeRelV relativeFrom="page">
            <wp14:pctHeight>0</wp14:pctHeight>
          </wp14:sizeRelV>
        </wp:anchor>
      </w:drawing>
    </w:r>
    <w:r w:rsidR="002776AA" w:rsidRPr="00366E6F">
      <w:rPr>
        <w:noProof/>
      </w:rPr>
      <mc:AlternateContent>
        <mc:Choice Requires="wps">
          <w:drawing>
            <wp:anchor distT="0" distB="0" distL="114300" distR="114300" simplePos="0" relativeHeight="251658243" behindDoc="1" locked="1" layoutInCell="1" allowOverlap="1" wp14:anchorId="7736C5AE" wp14:editId="007BE537">
              <wp:simplePos x="0" y="0"/>
              <wp:positionH relativeFrom="margin">
                <wp:posOffset>4712335</wp:posOffset>
              </wp:positionH>
              <wp:positionV relativeFrom="margin">
                <wp:posOffset>-1463675</wp:posOffset>
              </wp:positionV>
              <wp:extent cx="2286000" cy="10072370"/>
              <wp:effectExtent l="0" t="0" r="0" b="0"/>
              <wp:wrapSquare wrapText="bothSides"/>
              <wp:docPr id="9" name="Rectángulo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0" cy="10072370"/>
                      </a:xfrm>
                      <a:prstGeom prst="rect">
                        <a:avLst/>
                      </a:prstGeom>
                      <a:gradFill>
                        <a:gsLst>
                          <a:gs pos="0">
                            <a:srgbClr val="C33438"/>
                          </a:gs>
                          <a:gs pos="52000">
                            <a:srgbClr val="CB0204"/>
                          </a:gs>
                          <a:gs pos="100000">
                            <a:srgbClr val="C33438"/>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96385" id="Rectángulo 9" o:spid="_x0000_s1026" style="position:absolute;margin-left:371.05pt;margin-top:-115.25pt;width:180pt;height:793.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W7ywIAADkGAAAOAAAAZHJzL2Uyb0RvYy54bWysVFFv2yAQfp+0/4B4X+04SdtZdaosVadJ&#10;0VqtnfpMMI6tYY4BiZP9+h1gu1EX7WHaCwLuvrv7Pri7uT20kuyFsQ2ogk4uUkqE4lA2alvQ78/3&#10;H64psY6pkklQoqBHYent4v27m07nIoMaZCkMwSDK5p0uaO2czpPE8lq0zF6AFgqNFZiWOTyabVIa&#10;1mH0ViZZml4mHZhSG+DCWry9i0a6CPGrSnD3UFVWOCILirW5sJqwbvyaLG5YvjVM1w3vy2D/UEXL&#10;GoVJx1B3zDGyM80fodqGG7BQuQsObQJV1XAROCCbSfqGzVPNtAhcUByrR5ns/wvLv+6f9KPxpVu9&#10;Bv7DEgWrmqmtWFqN8uGjepGSTtt8dPYH28MOlWk9HLmQQxD2OAorDo5wvMyy68s0Rf052iZpepVN&#10;r4L2CcsHvDbWfRbQEr8pqMHcQVG2X1vnK2D54NILXd43Uoa9RZe4IRpQnTQgrdluVtKQPcPHX02n&#10;s+l1oIKvZE+95/iRziE+pVk6O4tACuchb5Ng0duhONkogroWdD6LcGI5k6IcFA6fZ+QklS9RgecY&#10;2fub8AxR+fAG7iiF95Pqm6hIU3qtI3ffQGJkzzgXyk2iqWaliKLMA40YPrScRwSpQ0AfucL8Y+w+&#10;wPnYMUzv76Ei9N8I7iX+G3hEhMyg3AhuGwXmHDOJrPrM0X8QKUrjVdpAeXw0xEDsfqv5fYN/bM2s&#10;e2QG2x0/Jo4w94BLJaErKPQ7Smowv87de3/sQrRS0uH4KKj9uWNGUCK/KPyBHyezmZ834TCbX2V4&#10;MKeWzalF7doV4Ced4LDUPGy9v5PDtjLQvuCkW/qsaGKKY+6CcmeGw8rFsYazkovlMrjhjNHMrdWT&#10;5j64V9X30PPhhRndN5rDJv0Kw6hh+Zt+i74eqWC5c1A1oRlfde31xvkUPk4/S/0APD0Hr9eJv/gN&#10;AAD//wMAUEsDBBQABgAIAAAAIQD/xePM4wAAAA4BAAAPAAAAZHJzL2Rvd25yZXYueG1sTI/NTsMw&#10;EITvSLyDtUhcUGsnJQ0KcSpUCXEDUWhz3cZuEtU/ke024e1xTnDb3RnNfFtuJq3IVTrfW8MhWTIg&#10;0jRW9Kbl8P31ungC4gMagcoayeFHethUtzclFsKO5lNed6ElMcT4Ajl0IQwFpb7ppEa/tIM0UTtZ&#10;pzHE1bVUOBxjuFY0ZWxNNfYmNnQ4yG0nm/PuomPJFuu1arKPU63H/dv7Ia8fzo7z+7vp5RlIkFP4&#10;M8OMH9GhikxHezHCE8Uhf0yTaOWwSFcsAzJbEjbfjnFaZVkOtCrp/zeqXwAAAP//AwBQSwECLQAU&#10;AAYACAAAACEAtoM4kv4AAADhAQAAEwAAAAAAAAAAAAAAAAAAAAAAW0NvbnRlbnRfVHlwZXNdLnht&#10;bFBLAQItABQABgAIAAAAIQA4/SH/1gAAAJQBAAALAAAAAAAAAAAAAAAAAC8BAABfcmVscy8ucmVs&#10;c1BLAQItABQABgAIAAAAIQD0qEW7ywIAADkGAAAOAAAAAAAAAAAAAAAAAC4CAABkcnMvZTJvRG9j&#10;LnhtbFBLAQItABQABgAIAAAAIQD/xePM4wAAAA4BAAAPAAAAAAAAAAAAAAAAACUFAABkcnMvZG93&#10;bnJldi54bWxQSwUGAAAAAAQABADzAAAANQYAAAAA&#10;" fillcolor="#c33438" stroked="f" strokeweight="1pt">
              <v:fill color2="#cb0204" focus="52%" type="gradient"/>
              <o:lock v:ext="edit" aspectratio="t"/>
              <w10:wrap type="square"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E18C1"/>
    <w:multiLevelType w:val="hybridMultilevel"/>
    <w:tmpl w:val="973AFA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41E354B6"/>
    <w:multiLevelType w:val="hybridMultilevel"/>
    <w:tmpl w:val="7856F98A"/>
    <w:lvl w:ilvl="0" w:tplc="C8DE696E">
      <w:numFmt w:val="bullet"/>
      <w:lvlText w:val="-"/>
      <w:lvlJc w:val="left"/>
      <w:pPr>
        <w:ind w:left="1080" w:hanging="360"/>
      </w:pPr>
      <w:rPr>
        <w:rFonts w:ascii="Verdana" w:eastAsia="Times New Roman" w:hAnsi="Verdana"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481E75C3"/>
    <w:multiLevelType w:val="hybridMultilevel"/>
    <w:tmpl w:val="994A584E"/>
    <w:lvl w:ilvl="0" w:tplc="B78AD908">
      <w:start w:val="10"/>
      <w:numFmt w:val="bullet"/>
      <w:lvlText w:val="-"/>
      <w:lvlJc w:val="left"/>
      <w:pPr>
        <w:ind w:left="360" w:hanging="360"/>
      </w:pPr>
      <w:rPr>
        <w:rFonts w:ascii="Myriad Pro" w:eastAsiaTheme="minorHAnsi" w:hAnsi="Myriad Pro"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4E167604"/>
    <w:multiLevelType w:val="hybridMultilevel"/>
    <w:tmpl w:val="E168E5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ADB2440"/>
    <w:multiLevelType w:val="hybridMultilevel"/>
    <w:tmpl w:val="A30A28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78EC3DDC"/>
    <w:multiLevelType w:val="hybridMultilevel"/>
    <w:tmpl w:val="0A08474A"/>
    <w:lvl w:ilvl="0" w:tplc="2BA6F7AC">
      <w:start w:val="1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490E01"/>
    <w:multiLevelType w:val="hybridMultilevel"/>
    <w:tmpl w:val="4D46F374"/>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5"/>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BF"/>
    <w:rsid w:val="000000F9"/>
    <w:rsid w:val="000013FE"/>
    <w:rsid w:val="00001C83"/>
    <w:rsid w:val="00004095"/>
    <w:rsid w:val="00004D6D"/>
    <w:rsid w:val="00005725"/>
    <w:rsid w:val="00005D63"/>
    <w:rsid w:val="000061C9"/>
    <w:rsid w:val="000071AB"/>
    <w:rsid w:val="00007F3A"/>
    <w:rsid w:val="000107D2"/>
    <w:rsid w:val="00010E72"/>
    <w:rsid w:val="00012F54"/>
    <w:rsid w:val="0001408C"/>
    <w:rsid w:val="0001606A"/>
    <w:rsid w:val="00016786"/>
    <w:rsid w:val="000175AE"/>
    <w:rsid w:val="000179F4"/>
    <w:rsid w:val="00017D20"/>
    <w:rsid w:val="00017FA1"/>
    <w:rsid w:val="000207C9"/>
    <w:rsid w:val="00020FBF"/>
    <w:rsid w:val="00022117"/>
    <w:rsid w:val="00023163"/>
    <w:rsid w:val="000237A2"/>
    <w:rsid w:val="00024601"/>
    <w:rsid w:val="00024DF2"/>
    <w:rsid w:val="0002519B"/>
    <w:rsid w:val="000257FE"/>
    <w:rsid w:val="00026613"/>
    <w:rsid w:val="00026D7D"/>
    <w:rsid w:val="000270D4"/>
    <w:rsid w:val="000271C6"/>
    <w:rsid w:val="000308D1"/>
    <w:rsid w:val="00031950"/>
    <w:rsid w:val="000345F0"/>
    <w:rsid w:val="00034EB7"/>
    <w:rsid w:val="000351C4"/>
    <w:rsid w:val="00035456"/>
    <w:rsid w:val="000359AB"/>
    <w:rsid w:val="00037C12"/>
    <w:rsid w:val="00041847"/>
    <w:rsid w:val="00042104"/>
    <w:rsid w:val="00042409"/>
    <w:rsid w:val="00043A21"/>
    <w:rsid w:val="000444D8"/>
    <w:rsid w:val="00045FF8"/>
    <w:rsid w:val="00046E80"/>
    <w:rsid w:val="00051823"/>
    <w:rsid w:val="000528DB"/>
    <w:rsid w:val="00053C89"/>
    <w:rsid w:val="000540F4"/>
    <w:rsid w:val="0005451B"/>
    <w:rsid w:val="00054B82"/>
    <w:rsid w:val="00055141"/>
    <w:rsid w:val="00055D91"/>
    <w:rsid w:val="0005608B"/>
    <w:rsid w:val="00056A06"/>
    <w:rsid w:val="00056B74"/>
    <w:rsid w:val="00057600"/>
    <w:rsid w:val="000578BB"/>
    <w:rsid w:val="00060B71"/>
    <w:rsid w:val="00060C49"/>
    <w:rsid w:val="00060F31"/>
    <w:rsid w:val="00063A52"/>
    <w:rsid w:val="000650B7"/>
    <w:rsid w:val="00065CC5"/>
    <w:rsid w:val="00065F0C"/>
    <w:rsid w:val="000706DC"/>
    <w:rsid w:val="00073442"/>
    <w:rsid w:val="00073D4B"/>
    <w:rsid w:val="000742B7"/>
    <w:rsid w:val="00074549"/>
    <w:rsid w:val="000750D1"/>
    <w:rsid w:val="00075537"/>
    <w:rsid w:val="00075A40"/>
    <w:rsid w:val="00075CEE"/>
    <w:rsid w:val="00076624"/>
    <w:rsid w:val="0007726E"/>
    <w:rsid w:val="000815B6"/>
    <w:rsid w:val="00081806"/>
    <w:rsid w:val="0008321C"/>
    <w:rsid w:val="00083653"/>
    <w:rsid w:val="00085A94"/>
    <w:rsid w:val="00087B8F"/>
    <w:rsid w:val="00087DAE"/>
    <w:rsid w:val="00087FBE"/>
    <w:rsid w:val="000907E4"/>
    <w:rsid w:val="00091286"/>
    <w:rsid w:val="000912AE"/>
    <w:rsid w:val="00091E30"/>
    <w:rsid w:val="00092703"/>
    <w:rsid w:val="00093342"/>
    <w:rsid w:val="000940C5"/>
    <w:rsid w:val="000942C1"/>
    <w:rsid w:val="00094644"/>
    <w:rsid w:val="00096CD3"/>
    <w:rsid w:val="00096E18"/>
    <w:rsid w:val="000974F9"/>
    <w:rsid w:val="00097E2E"/>
    <w:rsid w:val="000A0072"/>
    <w:rsid w:val="000A051D"/>
    <w:rsid w:val="000A0B6E"/>
    <w:rsid w:val="000A2E81"/>
    <w:rsid w:val="000A40A6"/>
    <w:rsid w:val="000A440A"/>
    <w:rsid w:val="000A446E"/>
    <w:rsid w:val="000A5264"/>
    <w:rsid w:val="000A6FCC"/>
    <w:rsid w:val="000A7387"/>
    <w:rsid w:val="000B0F03"/>
    <w:rsid w:val="000B0FFF"/>
    <w:rsid w:val="000B160B"/>
    <w:rsid w:val="000B3F9B"/>
    <w:rsid w:val="000B498C"/>
    <w:rsid w:val="000B4E0A"/>
    <w:rsid w:val="000B4FA5"/>
    <w:rsid w:val="000B52AE"/>
    <w:rsid w:val="000B5E2C"/>
    <w:rsid w:val="000B692E"/>
    <w:rsid w:val="000B745A"/>
    <w:rsid w:val="000B7C00"/>
    <w:rsid w:val="000C0A72"/>
    <w:rsid w:val="000C1C1B"/>
    <w:rsid w:val="000C2F6B"/>
    <w:rsid w:val="000C3200"/>
    <w:rsid w:val="000C5874"/>
    <w:rsid w:val="000C5B80"/>
    <w:rsid w:val="000C63F1"/>
    <w:rsid w:val="000C7120"/>
    <w:rsid w:val="000C7587"/>
    <w:rsid w:val="000D0DA5"/>
    <w:rsid w:val="000D108B"/>
    <w:rsid w:val="000D1A8C"/>
    <w:rsid w:val="000D240E"/>
    <w:rsid w:val="000D2FD4"/>
    <w:rsid w:val="000D372F"/>
    <w:rsid w:val="000D39F1"/>
    <w:rsid w:val="000D3D85"/>
    <w:rsid w:val="000D42AB"/>
    <w:rsid w:val="000D4725"/>
    <w:rsid w:val="000D69A3"/>
    <w:rsid w:val="000D7594"/>
    <w:rsid w:val="000D78F4"/>
    <w:rsid w:val="000D7A92"/>
    <w:rsid w:val="000E01A7"/>
    <w:rsid w:val="000E0E1B"/>
    <w:rsid w:val="000E21A8"/>
    <w:rsid w:val="000E2C00"/>
    <w:rsid w:val="000E2CA2"/>
    <w:rsid w:val="000E2DD1"/>
    <w:rsid w:val="000E3499"/>
    <w:rsid w:val="000E35F7"/>
    <w:rsid w:val="000E38DA"/>
    <w:rsid w:val="000E3950"/>
    <w:rsid w:val="000E4E2F"/>
    <w:rsid w:val="000E5464"/>
    <w:rsid w:val="000E61DB"/>
    <w:rsid w:val="000E693A"/>
    <w:rsid w:val="000E7E32"/>
    <w:rsid w:val="000F087E"/>
    <w:rsid w:val="000F0CAC"/>
    <w:rsid w:val="000F0CFC"/>
    <w:rsid w:val="000F2AA5"/>
    <w:rsid w:val="000F2CE0"/>
    <w:rsid w:val="000F4C51"/>
    <w:rsid w:val="000F4EC9"/>
    <w:rsid w:val="00101EE5"/>
    <w:rsid w:val="00103BD9"/>
    <w:rsid w:val="001045D5"/>
    <w:rsid w:val="00105108"/>
    <w:rsid w:val="001055D8"/>
    <w:rsid w:val="001058C8"/>
    <w:rsid w:val="001059D7"/>
    <w:rsid w:val="00107DF7"/>
    <w:rsid w:val="00107E94"/>
    <w:rsid w:val="00111EDE"/>
    <w:rsid w:val="00112364"/>
    <w:rsid w:val="00112CF8"/>
    <w:rsid w:val="001130BA"/>
    <w:rsid w:val="00115165"/>
    <w:rsid w:val="00115C82"/>
    <w:rsid w:val="0011624A"/>
    <w:rsid w:val="00117517"/>
    <w:rsid w:val="00117606"/>
    <w:rsid w:val="0011783A"/>
    <w:rsid w:val="00120235"/>
    <w:rsid w:val="00121E8E"/>
    <w:rsid w:val="00122229"/>
    <w:rsid w:val="0012230A"/>
    <w:rsid w:val="001225D9"/>
    <w:rsid w:val="00123654"/>
    <w:rsid w:val="00123B2A"/>
    <w:rsid w:val="00123BC5"/>
    <w:rsid w:val="00123E1C"/>
    <w:rsid w:val="00123E39"/>
    <w:rsid w:val="00125C4B"/>
    <w:rsid w:val="00126AC7"/>
    <w:rsid w:val="00127F2C"/>
    <w:rsid w:val="00130DD2"/>
    <w:rsid w:val="00130F0A"/>
    <w:rsid w:val="0013242A"/>
    <w:rsid w:val="00132B0F"/>
    <w:rsid w:val="001338AC"/>
    <w:rsid w:val="00133C6A"/>
    <w:rsid w:val="00134791"/>
    <w:rsid w:val="00135815"/>
    <w:rsid w:val="00135DB0"/>
    <w:rsid w:val="00135FF5"/>
    <w:rsid w:val="00136A80"/>
    <w:rsid w:val="00136F67"/>
    <w:rsid w:val="00137642"/>
    <w:rsid w:val="00141D0A"/>
    <w:rsid w:val="001420EB"/>
    <w:rsid w:val="001425E0"/>
    <w:rsid w:val="001430F6"/>
    <w:rsid w:val="001434D0"/>
    <w:rsid w:val="00143B2F"/>
    <w:rsid w:val="00146342"/>
    <w:rsid w:val="00146C32"/>
    <w:rsid w:val="00147124"/>
    <w:rsid w:val="00147B3D"/>
    <w:rsid w:val="00147C5D"/>
    <w:rsid w:val="001513B7"/>
    <w:rsid w:val="0015166C"/>
    <w:rsid w:val="00151997"/>
    <w:rsid w:val="00152930"/>
    <w:rsid w:val="00153AD4"/>
    <w:rsid w:val="00153F36"/>
    <w:rsid w:val="00153F87"/>
    <w:rsid w:val="00154686"/>
    <w:rsid w:val="001554A6"/>
    <w:rsid w:val="00155759"/>
    <w:rsid w:val="0015612C"/>
    <w:rsid w:val="0015620D"/>
    <w:rsid w:val="001565B8"/>
    <w:rsid w:val="001577AB"/>
    <w:rsid w:val="001600DE"/>
    <w:rsid w:val="00161215"/>
    <w:rsid w:val="00161841"/>
    <w:rsid w:val="00161BF9"/>
    <w:rsid w:val="00162166"/>
    <w:rsid w:val="00163C15"/>
    <w:rsid w:val="00165C0C"/>
    <w:rsid w:val="0016607E"/>
    <w:rsid w:val="00171CE1"/>
    <w:rsid w:val="00171D12"/>
    <w:rsid w:val="00172922"/>
    <w:rsid w:val="00173FEF"/>
    <w:rsid w:val="00174272"/>
    <w:rsid w:val="00175032"/>
    <w:rsid w:val="001757ED"/>
    <w:rsid w:val="00175800"/>
    <w:rsid w:val="00175E48"/>
    <w:rsid w:val="00176319"/>
    <w:rsid w:val="001773C4"/>
    <w:rsid w:val="00180B9F"/>
    <w:rsid w:val="00181043"/>
    <w:rsid w:val="00181FF7"/>
    <w:rsid w:val="001832DA"/>
    <w:rsid w:val="00186306"/>
    <w:rsid w:val="001868E2"/>
    <w:rsid w:val="0018716C"/>
    <w:rsid w:val="001872D5"/>
    <w:rsid w:val="001875ED"/>
    <w:rsid w:val="0019091E"/>
    <w:rsid w:val="001909AA"/>
    <w:rsid w:val="00192C7A"/>
    <w:rsid w:val="00193724"/>
    <w:rsid w:val="001945E2"/>
    <w:rsid w:val="00195DBD"/>
    <w:rsid w:val="00196ED4"/>
    <w:rsid w:val="0019737A"/>
    <w:rsid w:val="001A0A84"/>
    <w:rsid w:val="001A18CC"/>
    <w:rsid w:val="001A2683"/>
    <w:rsid w:val="001A2DCB"/>
    <w:rsid w:val="001A2DF8"/>
    <w:rsid w:val="001A3103"/>
    <w:rsid w:val="001A3988"/>
    <w:rsid w:val="001A3B09"/>
    <w:rsid w:val="001A408E"/>
    <w:rsid w:val="001A49E4"/>
    <w:rsid w:val="001A6945"/>
    <w:rsid w:val="001A6F46"/>
    <w:rsid w:val="001A77D8"/>
    <w:rsid w:val="001A7843"/>
    <w:rsid w:val="001B04F5"/>
    <w:rsid w:val="001B055A"/>
    <w:rsid w:val="001B0BA0"/>
    <w:rsid w:val="001B5186"/>
    <w:rsid w:val="001B6F11"/>
    <w:rsid w:val="001B7C29"/>
    <w:rsid w:val="001C0AB1"/>
    <w:rsid w:val="001C11D2"/>
    <w:rsid w:val="001C2EFC"/>
    <w:rsid w:val="001C32A9"/>
    <w:rsid w:val="001C418F"/>
    <w:rsid w:val="001C4E73"/>
    <w:rsid w:val="001C5119"/>
    <w:rsid w:val="001C55EA"/>
    <w:rsid w:val="001C6A09"/>
    <w:rsid w:val="001C6B74"/>
    <w:rsid w:val="001C7BD4"/>
    <w:rsid w:val="001C7BF0"/>
    <w:rsid w:val="001D00B0"/>
    <w:rsid w:val="001D0D83"/>
    <w:rsid w:val="001D1643"/>
    <w:rsid w:val="001D17B8"/>
    <w:rsid w:val="001D1D16"/>
    <w:rsid w:val="001D798B"/>
    <w:rsid w:val="001E0331"/>
    <w:rsid w:val="001E0558"/>
    <w:rsid w:val="001E0869"/>
    <w:rsid w:val="001E0D0D"/>
    <w:rsid w:val="001E1952"/>
    <w:rsid w:val="001E1B56"/>
    <w:rsid w:val="001E3743"/>
    <w:rsid w:val="001E4547"/>
    <w:rsid w:val="001E58BC"/>
    <w:rsid w:val="001E61F3"/>
    <w:rsid w:val="001E651C"/>
    <w:rsid w:val="001E71B5"/>
    <w:rsid w:val="001F09C4"/>
    <w:rsid w:val="001F1068"/>
    <w:rsid w:val="001F1B2D"/>
    <w:rsid w:val="001F2073"/>
    <w:rsid w:val="001F299A"/>
    <w:rsid w:val="001F3578"/>
    <w:rsid w:val="001F4C72"/>
    <w:rsid w:val="001F5410"/>
    <w:rsid w:val="001F6363"/>
    <w:rsid w:val="001F6B26"/>
    <w:rsid w:val="00200ACB"/>
    <w:rsid w:val="00201445"/>
    <w:rsid w:val="002027EE"/>
    <w:rsid w:val="00202E02"/>
    <w:rsid w:val="00203BFA"/>
    <w:rsid w:val="00204CAF"/>
    <w:rsid w:val="00205270"/>
    <w:rsid w:val="00205E16"/>
    <w:rsid w:val="00205F51"/>
    <w:rsid w:val="002061A3"/>
    <w:rsid w:val="00206D23"/>
    <w:rsid w:val="00206D31"/>
    <w:rsid w:val="00207A06"/>
    <w:rsid w:val="002103E0"/>
    <w:rsid w:val="00211DD6"/>
    <w:rsid w:val="00212040"/>
    <w:rsid w:val="002122DC"/>
    <w:rsid w:val="00212B0F"/>
    <w:rsid w:val="00212D65"/>
    <w:rsid w:val="0021353C"/>
    <w:rsid w:val="00213A8F"/>
    <w:rsid w:val="00213D43"/>
    <w:rsid w:val="00213F01"/>
    <w:rsid w:val="002148F6"/>
    <w:rsid w:val="00216108"/>
    <w:rsid w:val="002167B2"/>
    <w:rsid w:val="002168B5"/>
    <w:rsid w:val="00216AA2"/>
    <w:rsid w:val="00217252"/>
    <w:rsid w:val="002175E2"/>
    <w:rsid w:val="00217678"/>
    <w:rsid w:val="00217F82"/>
    <w:rsid w:val="002226CA"/>
    <w:rsid w:val="002230E8"/>
    <w:rsid w:val="00223216"/>
    <w:rsid w:val="00224180"/>
    <w:rsid w:val="002256C7"/>
    <w:rsid w:val="00226447"/>
    <w:rsid w:val="002270A1"/>
    <w:rsid w:val="00227DCC"/>
    <w:rsid w:val="00230C1C"/>
    <w:rsid w:val="00230C6D"/>
    <w:rsid w:val="002320A8"/>
    <w:rsid w:val="0023274A"/>
    <w:rsid w:val="0023387B"/>
    <w:rsid w:val="002341DA"/>
    <w:rsid w:val="00234991"/>
    <w:rsid w:val="00234AE0"/>
    <w:rsid w:val="00235547"/>
    <w:rsid w:val="002356DD"/>
    <w:rsid w:val="0023714F"/>
    <w:rsid w:val="0023794A"/>
    <w:rsid w:val="00237BC2"/>
    <w:rsid w:val="002402E5"/>
    <w:rsid w:val="002404D4"/>
    <w:rsid w:val="00240A4C"/>
    <w:rsid w:val="0024117F"/>
    <w:rsid w:val="002414BE"/>
    <w:rsid w:val="00241E50"/>
    <w:rsid w:val="00242FB0"/>
    <w:rsid w:val="00243A12"/>
    <w:rsid w:val="002442ED"/>
    <w:rsid w:val="0024457C"/>
    <w:rsid w:val="002445EE"/>
    <w:rsid w:val="00245820"/>
    <w:rsid w:val="00245DC8"/>
    <w:rsid w:val="00245F72"/>
    <w:rsid w:val="00245FA4"/>
    <w:rsid w:val="00246E77"/>
    <w:rsid w:val="00246EB1"/>
    <w:rsid w:val="002472F9"/>
    <w:rsid w:val="00247EB5"/>
    <w:rsid w:val="00251026"/>
    <w:rsid w:val="00252B3F"/>
    <w:rsid w:val="00252EA6"/>
    <w:rsid w:val="00253A63"/>
    <w:rsid w:val="00255ED7"/>
    <w:rsid w:val="00257320"/>
    <w:rsid w:val="00257365"/>
    <w:rsid w:val="00260122"/>
    <w:rsid w:val="00260C9F"/>
    <w:rsid w:val="002622F0"/>
    <w:rsid w:val="00262CA2"/>
    <w:rsid w:val="00262DA3"/>
    <w:rsid w:val="00264756"/>
    <w:rsid w:val="00264BEB"/>
    <w:rsid w:val="002700CC"/>
    <w:rsid w:val="00270508"/>
    <w:rsid w:val="00273330"/>
    <w:rsid w:val="00273650"/>
    <w:rsid w:val="002776AA"/>
    <w:rsid w:val="002802AF"/>
    <w:rsid w:val="00280F4C"/>
    <w:rsid w:val="00282955"/>
    <w:rsid w:val="00283DCB"/>
    <w:rsid w:val="0028489B"/>
    <w:rsid w:val="0028549F"/>
    <w:rsid w:val="00285CFE"/>
    <w:rsid w:val="00287514"/>
    <w:rsid w:val="002875E2"/>
    <w:rsid w:val="00287855"/>
    <w:rsid w:val="0029022F"/>
    <w:rsid w:val="00290F2E"/>
    <w:rsid w:val="0029118C"/>
    <w:rsid w:val="002921A7"/>
    <w:rsid w:val="002928CB"/>
    <w:rsid w:val="00293065"/>
    <w:rsid w:val="002939D7"/>
    <w:rsid w:val="00294BEF"/>
    <w:rsid w:val="00294BFF"/>
    <w:rsid w:val="00295AD5"/>
    <w:rsid w:val="00295FBE"/>
    <w:rsid w:val="002970D7"/>
    <w:rsid w:val="00297410"/>
    <w:rsid w:val="002A1D77"/>
    <w:rsid w:val="002A1E63"/>
    <w:rsid w:val="002A51AA"/>
    <w:rsid w:val="002A525F"/>
    <w:rsid w:val="002A5B59"/>
    <w:rsid w:val="002A5E62"/>
    <w:rsid w:val="002A6755"/>
    <w:rsid w:val="002A6786"/>
    <w:rsid w:val="002A7C19"/>
    <w:rsid w:val="002A7F89"/>
    <w:rsid w:val="002B12E6"/>
    <w:rsid w:val="002B1887"/>
    <w:rsid w:val="002B1C6C"/>
    <w:rsid w:val="002B1C94"/>
    <w:rsid w:val="002B2F85"/>
    <w:rsid w:val="002B3179"/>
    <w:rsid w:val="002B4386"/>
    <w:rsid w:val="002B4ACE"/>
    <w:rsid w:val="002B6AAC"/>
    <w:rsid w:val="002C071C"/>
    <w:rsid w:val="002C0B85"/>
    <w:rsid w:val="002C228A"/>
    <w:rsid w:val="002C2672"/>
    <w:rsid w:val="002C3321"/>
    <w:rsid w:val="002C36C9"/>
    <w:rsid w:val="002C3762"/>
    <w:rsid w:val="002C4263"/>
    <w:rsid w:val="002C5B6B"/>
    <w:rsid w:val="002C6787"/>
    <w:rsid w:val="002C73F0"/>
    <w:rsid w:val="002C744B"/>
    <w:rsid w:val="002D1895"/>
    <w:rsid w:val="002D301C"/>
    <w:rsid w:val="002D3333"/>
    <w:rsid w:val="002D529D"/>
    <w:rsid w:val="002D54D5"/>
    <w:rsid w:val="002D5793"/>
    <w:rsid w:val="002D5B52"/>
    <w:rsid w:val="002D5B9F"/>
    <w:rsid w:val="002D5C9F"/>
    <w:rsid w:val="002D6C5D"/>
    <w:rsid w:val="002E2B1A"/>
    <w:rsid w:val="002E2EF9"/>
    <w:rsid w:val="002E3A38"/>
    <w:rsid w:val="002E5015"/>
    <w:rsid w:val="002E5D1C"/>
    <w:rsid w:val="002E648B"/>
    <w:rsid w:val="002E68F2"/>
    <w:rsid w:val="002E7407"/>
    <w:rsid w:val="002E7867"/>
    <w:rsid w:val="002E7A7E"/>
    <w:rsid w:val="002F083B"/>
    <w:rsid w:val="002F09F2"/>
    <w:rsid w:val="002F0CAC"/>
    <w:rsid w:val="002F10D5"/>
    <w:rsid w:val="002F1C39"/>
    <w:rsid w:val="002F27BF"/>
    <w:rsid w:val="002F4B9A"/>
    <w:rsid w:val="002F5F4A"/>
    <w:rsid w:val="00300003"/>
    <w:rsid w:val="00300C97"/>
    <w:rsid w:val="0030186E"/>
    <w:rsid w:val="0030249D"/>
    <w:rsid w:val="003032FE"/>
    <w:rsid w:val="00304D2F"/>
    <w:rsid w:val="0030592D"/>
    <w:rsid w:val="0030596C"/>
    <w:rsid w:val="00306A58"/>
    <w:rsid w:val="003071DE"/>
    <w:rsid w:val="00307DD8"/>
    <w:rsid w:val="0031209E"/>
    <w:rsid w:val="0031227A"/>
    <w:rsid w:val="00312640"/>
    <w:rsid w:val="00313579"/>
    <w:rsid w:val="00313C84"/>
    <w:rsid w:val="00314063"/>
    <w:rsid w:val="003145EA"/>
    <w:rsid w:val="00317256"/>
    <w:rsid w:val="00317A8E"/>
    <w:rsid w:val="003205C9"/>
    <w:rsid w:val="0032103C"/>
    <w:rsid w:val="00321A1B"/>
    <w:rsid w:val="00322CCE"/>
    <w:rsid w:val="0032347B"/>
    <w:rsid w:val="003243A4"/>
    <w:rsid w:val="00324584"/>
    <w:rsid w:val="00324E65"/>
    <w:rsid w:val="003265CB"/>
    <w:rsid w:val="00326AEB"/>
    <w:rsid w:val="003274A1"/>
    <w:rsid w:val="00327A0B"/>
    <w:rsid w:val="00331717"/>
    <w:rsid w:val="00331927"/>
    <w:rsid w:val="003333EA"/>
    <w:rsid w:val="00334350"/>
    <w:rsid w:val="00335B57"/>
    <w:rsid w:val="0033604C"/>
    <w:rsid w:val="00336ABB"/>
    <w:rsid w:val="00336DA7"/>
    <w:rsid w:val="003377A3"/>
    <w:rsid w:val="003401B9"/>
    <w:rsid w:val="0034051A"/>
    <w:rsid w:val="00340F79"/>
    <w:rsid w:val="00342F5C"/>
    <w:rsid w:val="00343894"/>
    <w:rsid w:val="003445CB"/>
    <w:rsid w:val="00344D9A"/>
    <w:rsid w:val="00344EAC"/>
    <w:rsid w:val="00347BFB"/>
    <w:rsid w:val="00351796"/>
    <w:rsid w:val="003519F6"/>
    <w:rsid w:val="00351FDC"/>
    <w:rsid w:val="00352E03"/>
    <w:rsid w:val="003531E4"/>
    <w:rsid w:val="00353853"/>
    <w:rsid w:val="00353A7C"/>
    <w:rsid w:val="00356D17"/>
    <w:rsid w:val="0036100E"/>
    <w:rsid w:val="00361085"/>
    <w:rsid w:val="003610A8"/>
    <w:rsid w:val="00361D55"/>
    <w:rsid w:val="00361E3B"/>
    <w:rsid w:val="00362121"/>
    <w:rsid w:val="00362807"/>
    <w:rsid w:val="00364A9B"/>
    <w:rsid w:val="00364C4B"/>
    <w:rsid w:val="00365DD8"/>
    <w:rsid w:val="00365F88"/>
    <w:rsid w:val="0036604D"/>
    <w:rsid w:val="00366E6F"/>
    <w:rsid w:val="00370733"/>
    <w:rsid w:val="0037317C"/>
    <w:rsid w:val="00373499"/>
    <w:rsid w:val="00373C9D"/>
    <w:rsid w:val="003747B0"/>
    <w:rsid w:val="003749AA"/>
    <w:rsid w:val="003749D7"/>
    <w:rsid w:val="00375D68"/>
    <w:rsid w:val="00376F89"/>
    <w:rsid w:val="0037768F"/>
    <w:rsid w:val="00380DF3"/>
    <w:rsid w:val="003813DF"/>
    <w:rsid w:val="00381B16"/>
    <w:rsid w:val="00381BD4"/>
    <w:rsid w:val="00381CB3"/>
    <w:rsid w:val="0038253B"/>
    <w:rsid w:val="003838E6"/>
    <w:rsid w:val="00383B40"/>
    <w:rsid w:val="00383CAC"/>
    <w:rsid w:val="00385A9D"/>
    <w:rsid w:val="00385E55"/>
    <w:rsid w:val="003865B2"/>
    <w:rsid w:val="003874AE"/>
    <w:rsid w:val="0039251D"/>
    <w:rsid w:val="00392866"/>
    <w:rsid w:val="00393A23"/>
    <w:rsid w:val="00394955"/>
    <w:rsid w:val="00395C16"/>
    <w:rsid w:val="003968FC"/>
    <w:rsid w:val="00397E94"/>
    <w:rsid w:val="003A0F42"/>
    <w:rsid w:val="003A1146"/>
    <w:rsid w:val="003A182D"/>
    <w:rsid w:val="003A249A"/>
    <w:rsid w:val="003A29AB"/>
    <w:rsid w:val="003A45D8"/>
    <w:rsid w:val="003A4C70"/>
    <w:rsid w:val="003A4CAF"/>
    <w:rsid w:val="003A5C6D"/>
    <w:rsid w:val="003A63DA"/>
    <w:rsid w:val="003B0235"/>
    <w:rsid w:val="003B04D1"/>
    <w:rsid w:val="003B180A"/>
    <w:rsid w:val="003B1E90"/>
    <w:rsid w:val="003B2EC3"/>
    <w:rsid w:val="003B38B5"/>
    <w:rsid w:val="003B470C"/>
    <w:rsid w:val="003B5626"/>
    <w:rsid w:val="003B5C43"/>
    <w:rsid w:val="003B5ECB"/>
    <w:rsid w:val="003B672E"/>
    <w:rsid w:val="003B6EF9"/>
    <w:rsid w:val="003B7085"/>
    <w:rsid w:val="003B7A1D"/>
    <w:rsid w:val="003B7B88"/>
    <w:rsid w:val="003C1F4D"/>
    <w:rsid w:val="003C20F2"/>
    <w:rsid w:val="003C3D34"/>
    <w:rsid w:val="003C44EE"/>
    <w:rsid w:val="003C4D1E"/>
    <w:rsid w:val="003C619D"/>
    <w:rsid w:val="003C6CA0"/>
    <w:rsid w:val="003C7D01"/>
    <w:rsid w:val="003D0259"/>
    <w:rsid w:val="003D0629"/>
    <w:rsid w:val="003D0930"/>
    <w:rsid w:val="003D134A"/>
    <w:rsid w:val="003D13CF"/>
    <w:rsid w:val="003D1E67"/>
    <w:rsid w:val="003D1E69"/>
    <w:rsid w:val="003D1E81"/>
    <w:rsid w:val="003D1F30"/>
    <w:rsid w:val="003D21DC"/>
    <w:rsid w:val="003D33E2"/>
    <w:rsid w:val="003D4C36"/>
    <w:rsid w:val="003D56A5"/>
    <w:rsid w:val="003D6BBF"/>
    <w:rsid w:val="003D6E1A"/>
    <w:rsid w:val="003E0CD6"/>
    <w:rsid w:val="003E2F52"/>
    <w:rsid w:val="003E37C6"/>
    <w:rsid w:val="003E3C34"/>
    <w:rsid w:val="003E3ED7"/>
    <w:rsid w:val="003E4B26"/>
    <w:rsid w:val="003E59C2"/>
    <w:rsid w:val="003E695B"/>
    <w:rsid w:val="003E7466"/>
    <w:rsid w:val="003E7EDD"/>
    <w:rsid w:val="003F1217"/>
    <w:rsid w:val="003F1B4F"/>
    <w:rsid w:val="003F32D1"/>
    <w:rsid w:val="003F3E10"/>
    <w:rsid w:val="003F46AC"/>
    <w:rsid w:val="003F4ED3"/>
    <w:rsid w:val="003F57E7"/>
    <w:rsid w:val="003F60FC"/>
    <w:rsid w:val="004005D3"/>
    <w:rsid w:val="00400DA3"/>
    <w:rsid w:val="0040115F"/>
    <w:rsid w:val="00401419"/>
    <w:rsid w:val="004015B9"/>
    <w:rsid w:val="00401F67"/>
    <w:rsid w:val="00402227"/>
    <w:rsid w:val="0040518F"/>
    <w:rsid w:val="00410DE0"/>
    <w:rsid w:val="00411E6A"/>
    <w:rsid w:val="004127C3"/>
    <w:rsid w:val="00413143"/>
    <w:rsid w:val="00413CE5"/>
    <w:rsid w:val="00413E98"/>
    <w:rsid w:val="004157DB"/>
    <w:rsid w:val="004160BB"/>
    <w:rsid w:val="004163A0"/>
    <w:rsid w:val="00417AAA"/>
    <w:rsid w:val="004211F4"/>
    <w:rsid w:val="00421783"/>
    <w:rsid w:val="00421BF2"/>
    <w:rsid w:val="00422CED"/>
    <w:rsid w:val="00422E45"/>
    <w:rsid w:val="00423D5E"/>
    <w:rsid w:val="00424AD6"/>
    <w:rsid w:val="00425001"/>
    <w:rsid w:val="004256AD"/>
    <w:rsid w:val="00425C67"/>
    <w:rsid w:val="00425F3F"/>
    <w:rsid w:val="004264E6"/>
    <w:rsid w:val="00426B1A"/>
    <w:rsid w:val="004272B4"/>
    <w:rsid w:val="004310E1"/>
    <w:rsid w:val="00431173"/>
    <w:rsid w:val="004314CE"/>
    <w:rsid w:val="00431531"/>
    <w:rsid w:val="00431B23"/>
    <w:rsid w:val="00432870"/>
    <w:rsid w:val="00434257"/>
    <w:rsid w:val="004353B2"/>
    <w:rsid w:val="004365F8"/>
    <w:rsid w:val="00436A8E"/>
    <w:rsid w:val="0043776F"/>
    <w:rsid w:val="00437784"/>
    <w:rsid w:val="00440548"/>
    <w:rsid w:val="004414D4"/>
    <w:rsid w:val="0044268E"/>
    <w:rsid w:val="004429DB"/>
    <w:rsid w:val="00443A2D"/>
    <w:rsid w:val="00444694"/>
    <w:rsid w:val="00444FFD"/>
    <w:rsid w:val="004454B6"/>
    <w:rsid w:val="004460D0"/>
    <w:rsid w:val="00446221"/>
    <w:rsid w:val="004464DC"/>
    <w:rsid w:val="00446B71"/>
    <w:rsid w:val="00450149"/>
    <w:rsid w:val="00450D14"/>
    <w:rsid w:val="00451163"/>
    <w:rsid w:val="0045286A"/>
    <w:rsid w:val="00453058"/>
    <w:rsid w:val="00453994"/>
    <w:rsid w:val="00453B4A"/>
    <w:rsid w:val="00453E72"/>
    <w:rsid w:val="00455133"/>
    <w:rsid w:val="004553B4"/>
    <w:rsid w:val="00460F3E"/>
    <w:rsid w:val="004610B9"/>
    <w:rsid w:val="0046178C"/>
    <w:rsid w:val="00462795"/>
    <w:rsid w:val="00463671"/>
    <w:rsid w:val="00464EAD"/>
    <w:rsid w:val="00465CCF"/>
    <w:rsid w:val="0047342F"/>
    <w:rsid w:val="004738FA"/>
    <w:rsid w:val="004745F8"/>
    <w:rsid w:val="004746A9"/>
    <w:rsid w:val="00474C1D"/>
    <w:rsid w:val="00474EA0"/>
    <w:rsid w:val="00477457"/>
    <w:rsid w:val="0047770E"/>
    <w:rsid w:val="00480446"/>
    <w:rsid w:val="00481698"/>
    <w:rsid w:val="004818C1"/>
    <w:rsid w:val="00482E1E"/>
    <w:rsid w:val="0048404B"/>
    <w:rsid w:val="004845C8"/>
    <w:rsid w:val="004845D3"/>
    <w:rsid w:val="004854A9"/>
    <w:rsid w:val="0049051E"/>
    <w:rsid w:val="004910C7"/>
    <w:rsid w:val="00491226"/>
    <w:rsid w:val="004918BF"/>
    <w:rsid w:val="00492138"/>
    <w:rsid w:val="00492A23"/>
    <w:rsid w:val="004935E8"/>
    <w:rsid w:val="0049572E"/>
    <w:rsid w:val="00495DBC"/>
    <w:rsid w:val="0049662C"/>
    <w:rsid w:val="004972BA"/>
    <w:rsid w:val="004A0069"/>
    <w:rsid w:val="004A09F1"/>
    <w:rsid w:val="004A18EB"/>
    <w:rsid w:val="004A31DC"/>
    <w:rsid w:val="004A3D5E"/>
    <w:rsid w:val="004A4D20"/>
    <w:rsid w:val="004A64F7"/>
    <w:rsid w:val="004A695C"/>
    <w:rsid w:val="004A6C54"/>
    <w:rsid w:val="004A7172"/>
    <w:rsid w:val="004A7AEA"/>
    <w:rsid w:val="004B15B2"/>
    <w:rsid w:val="004B1ABB"/>
    <w:rsid w:val="004B1D71"/>
    <w:rsid w:val="004B2835"/>
    <w:rsid w:val="004B2865"/>
    <w:rsid w:val="004B2D5B"/>
    <w:rsid w:val="004B41E1"/>
    <w:rsid w:val="004B5C07"/>
    <w:rsid w:val="004B6442"/>
    <w:rsid w:val="004B64BD"/>
    <w:rsid w:val="004C00AB"/>
    <w:rsid w:val="004C04E6"/>
    <w:rsid w:val="004C0A2D"/>
    <w:rsid w:val="004C4615"/>
    <w:rsid w:val="004C4F8C"/>
    <w:rsid w:val="004D106C"/>
    <w:rsid w:val="004D1C31"/>
    <w:rsid w:val="004D23CD"/>
    <w:rsid w:val="004D27F3"/>
    <w:rsid w:val="004D2C36"/>
    <w:rsid w:val="004D377D"/>
    <w:rsid w:val="004D378A"/>
    <w:rsid w:val="004D4084"/>
    <w:rsid w:val="004D5C21"/>
    <w:rsid w:val="004D5E05"/>
    <w:rsid w:val="004E0036"/>
    <w:rsid w:val="004E0858"/>
    <w:rsid w:val="004E3F10"/>
    <w:rsid w:val="004E556F"/>
    <w:rsid w:val="004E6EFB"/>
    <w:rsid w:val="004E746B"/>
    <w:rsid w:val="004E7D76"/>
    <w:rsid w:val="004F091E"/>
    <w:rsid w:val="004F1069"/>
    <w:rsid w:val="004F11B4"/>
    <w:rsid w:val="004F407A"/>
    <w:rsid w:val="004F51E2"/>
    <w:rsid w:val="005008FB"/>
    <w:rsid w:val="00501276"/>
    <w:rsid w:val="005038DB"/>
    <w:rsid w:val="00504DDB"/>
    <w:rsid w:val="00505256"/>
    <w:rsid w:val="00506BD9"/>
    <w:rsid w:val="00507013"/>
    <w:rsid w:val="00510FB6"/>
    <w:rsid w:val="00511488"/>
    <w:rsid w:val="005118CD"/>
    <w:rsid w:val="00512140"/>
    <w:rsid w:val="005129B2"/>
    <w:rsid w:val="00513AD6"/>
    <w:rsid w:val="00515E82"/>
    <w:rsid w:val="005169CE"/>
    <w:rsid w:val="00516CF0"/>
    <w:rsid w:val="00517E22"/>
    <w:rsid w:val="005222BF"/>
    <w:rsid w:val="005222E3"/>
    <w:rsid w:val="005228BF"/>
    <w:rsid w:val="00523E5D"/>
    <w:rsid w:val="0052402F"/>
    <w:rsid w:val="00524751"/>
    <w:rsid w:val="00525B47"/>
    <w:rsid w:val="00525C11"/>
    <w:rsid w:val="00530A1D"/>
    <w:rsid w:val="00532691"/>
    <w:rsid w:val="00533A64"/>
    <w:rsid w:val="00533C99"/>
    <w:rsid w:val="00534AAF"/>
    <w:rsid w:val="005413C2"/>
    <w:rsid w:val="005441DB"/>
    <w:rsid w:val="005516B4"/>
    <w:rsid w:val="0055201F"/>
    <w:rsid w:val="00552C17"/>
    <w:rsid w:val="00553A06"/>
    <w:rsid w:val="00555130"/>
    <w:rsid w:val="005553C8"/>
    <w:rsid w:val="0055679D"/>
    <w:rsid w:val="00560332"/>
    <w:rsid w:val="005619A3"/>
    <w:rsid w:val="00561A05"/>
    <w:rsid w:val="00561EF7"/>
    <w:rsid w:val="00563DF9"/>
    <w:rsid w:val="005641BA"/>
    <w:rsid w:val="00564814"/>
    <w:rsid w:val="00564934"/>
    <w:rsid w:val="00564D33"/>
    <w:rsid w:val="005652CA"/>
    <w:rsid w:val="00565D26"/>
    <w:rsid w:val="00572E2C"/>
    <w:rsid w:val="00573468"/>
    <w:rsid w:val="00573F85"/>
    <w:rsid w:val="0057489C"/>
    <w:rsid w:val="00576961"/>
    <w:rsid w:val="00576F3B"/>
    <w:rsid w:val="00581023"/>
    <w:rsid w:val="0058374A"/>
    <w:rsid w:val="005837B9"/>
    <w:rsid w:val="00585322"/>
    <w:rsid w:val="00585555"/>
    <w:rsid w:val="005856B3"/>
    <w:rsid w:val="0058659A"/>
    <w:rsid w:val="00586DE1"/>
    <w:rsid w:val="0058769A"/>
    <w:rsid w:val="00587CDD"/>
    <w:rsid w:val="00587EBE"/>
    <w:rsid w:val="00587FCA"/>
    <w:rsid w:val="0059010F"/>
    <w:rsid w:val="00592792"/>
    <w:rsid w:val="00592940"/>
    <w:rsid w:val="005930CA"/>
    <w:rsid w:val="00593917"/>
    <w:rsid w:val="005945AD"/>
    <w:rsid w:val="00594FAF"/>
    <w:rsid w:val="00595038"/>
    <w:rsid w:val="0059568C"/>
    <w:rsid w:val="005957B0"/>
    <w:rsid w:val="00595BD0"/>
    <w:rsid w:val="00595E23"/>
    <w:rsid w:val="0059614D"/>
    <w:rsid w:val="005A1228"/>
    <w:rsid w:val="005A192E"/>
    <w:rsid w:val="005A2D06"/>
    <w:rsid w:val="005A378E"/>
    <w:rsid w:val="005A3F07"/>
    <w:rsid w:val="005A4390"/>
    <w:rsid w:val="005A4C42"/>
    <w:rsid w:val="005A4CDA"/>
    <w:rsid w:val="005A5C72"/>
    <w:rsid w:val="005A614A"/>
    <w:rsid w:val="005A67B3"/>
    <w:rsid w:val="005A71DF"/>
    <w:rsid w:val="005B1259"/>
    <w:rsid w:val="005B157C"/>
    <w:rsid w:val="005B1D47"/>
    <w:rsid w:val="005B2CF1"/>
    <w:rsid w:val="005B3910"/>
    <w:rsid w:val="005B4095"/>
    <w:rsid w:val="005B55E1"/>
    <w:rsid w:val="005B6C2E"/>
    <w:rsid w:val="005B7A49"/>
    <w:rsid w:val="005B7E1A"/>
    <w:rsid w:val="005C00C6"/>
    <w:rsid w:val="005C1143"/>
    <w:rsid w:val="005C1694"/>
    <w:rsid w:val="005C2161"/>
    <w:rsid w:val="005C29AC"/>
    <w:rsid w:val="005C2DC3"/>
    <w:rsid w:val="005C587D"/>
    <w:rsid w:val="005C62E1"/>
    <w:rsid w:val="005C6591"/>
    <w:rsid w:val="005C660D"/>
    <w:rsid w:val="005C6AF4"/>
    <w:rsid w:val="005C7C4A"/>
    <w:rsid w:val="005C7F2E"/>
    <w:rsid w:val="005D020B"/>
    <w:rsid w:val="005D0822"/>
    <w:rsid w:val="005D08C0"/>
    <w:rsid w:val="005D12EA"/>
    <w:rsid w:val="005D13AD"/>
    <w:rsid w:val="005D1E87"/>
    <w:rsid w:val="005D2ACC"/>
    <w:rsid w:val="005D3FBF"/>
    <w:rsid w:val="005D529D"/>
    <w:rsid w:val="005D5CA0"/>
    <w:rsid w:val="005D687C"/>
    <w:rsid w:val="005D71A6"/>
    <w:rsid w:val="005D7DE2"/>
    <w:rsid w:val="005E0521"/>
    <w:rsid w:val="005E0729"/>
    <w:rsid w:val="005E2088"/>
    <w:rsid w:val="005E269C"/>
    <w:rsid w:val="005E26F8"/>
    <w:rsid w:val="005E3721"/>
    <w:rsid w:val="005E5226"/>
    <w:rsid w:val="005E6E82"/>
    <w:rsid w:val="005E7B6D"/>
    <w:rsid w:val="005E7C00"/>
    <w:rsid w:val="005E7E39"/>
    <w:rsid w:val="005F0CAC"/>
    <w:rsid w:val="005F21C5"/>
    <w:rsid w:val="005F22BE"/>
    <w:rsid w:val="005F268A"/>
    <w:rsid w:val="005F3050"/>
    <w:rsid w:val="006023F9"/>
    <w:rsid w:val="00603293"/>
    <w:rsid w:val="006038E2"/>
    <w:rsid w:val="00604CDD"/>
    <w:rsid w:val="0060558F"/>
    <w:rsid w:val="0060763B"/>
    <w:rsid w:val="006137D9"/>
    <w:rsid w:val="00613D81"/>
    <w:rsid w:val="0061519A"/>
    <w:rsid w:val="00615456"/>
    <w:rsid w:val="00615735"/>
    <w:rsid w:val="0061577C"/>
    <w:rsid w:val="00615FDB"/>
    <w:rsid w:val="006170ED"/>
    <w:rsid w:val="006201A6"/>
    <w:rsid w:val="006210BC"/>
    <w:rsid w:val="00622A6F"/>
    <w:rsid w:val="00622E36"/>
    <w:rsid w:val="00623B78"/>
    <w:rsid w:val="006240F6"/>
    <w:rsid w:val="006258B0"/>
    <w:rsid w:val="00625B67"/>
    <w:rsid w:val="00625DB4"/>
    <w:rsid w:val="00625EB0"/>
    <w:rsid w:val="0062725C"/>
    <w:rsid w:val="006272EA"/>
    <w:rsid w:val="00631EF4"/>
    <w:rsid w:val="006339AC"/>
    <w:rsid w:val="006347ED"/>
    <w:rsid w:val="00635420"/>
    <w:rsid w:val="006357CD"/>
    <w:rsid w:val="00636A3A"/>
    <w:rsid w:val="00640885"/>
    <w:rsid w:val="00641F55"/>
    <w:rsid w:val="00642A2E"/>
    <w:rsid w:val="00642C4F"/>
    <w:rsid w:val="00643059"/>
    <w:rsid w:val="00644F9B"/>
    <w:rsid w:val="006451C3"/>
    <w:rsid w:val="00646C38"/>
    <w:rsid w:val="006474A3"/>
    <w:rsid w:val="00650094"/>
    <w:rsid w:val="00650301"/>
    <w:rsid w:val="0065084A"/>
    <w:rsid w:val="006522BE"/>
    <w:rsid w:val="00653E19"/>
    <w:rsid w:val="00654218"/>
    <w:rsid w:val="006545DA"/>
    <w:rsid w:val="0065572A"/>
    <w:rsid w:val="00655D84"/>
    <w:rsid w:val="0065686E"/>
    <w:rsid w:val="006573AD"/>
    <w:rsid w:val="006579AE"/>
    <w:rsid w:val="00660D73"/>
    <w:rsid w:val="00661418"/>
    <w:rsid w:val="0066260D"/>
    <w:rsid w:val="00663C7A"/>
    <w:rsid w:val="00664838"/>
    <w:rsid w:val="00664F82"/>
    <w:rsid w:val="0066517D"/>
    <w:rsid w:val="0066591E"/>
    <w:rsid w:val="00666229"/>
    <w:rsid w:val="00666430"/>
    <w:rsid w:val="0066689E"/>
    <w:rsid w:val="00666F20"/>
    <w:rsid w:val="00667AA6"/>
    <w:rsid w:val="0067210E"/>
    <w:rsid w:val="006722A6"/>
    <w:rsid w:val="0067308B"/>
    <w:rsid w:val="006748EE"/>
    <w:rsid w:val="00675439"/>
    <w:rsid w:val="00675E14"/>
    <w:rsid w:val="00675EE7"/>
    <w:rsid w:val="0068110C"/>
    <w:rsid w:val="006819B0"/>
    <w:rsid w:val="00682294"/>
    <w:rsid w:val="006822F6"/>
    <w:rsid w:val="00682C98"/>
    <w:rsid w:val="00684009"/>
    <w:rsid w:val="00687827"/>
    <w:rsid w:val="006909C5"/>
    <w:rsid w:val="00691D6A"/>
    <w:rsid w:val="00694A68"/>
    <w:rsid w:val="006950FA"/>
    <w:rsid w:val="006A290D"/>
    <w:rsid w:val="006A3B77"/>
    <w:rsid w:val="006A44A4"/>
    <w:rsid w:val="006A4ABD"/>
    <w:rsid w:val="006A55CA"/>
    <w:rsid w:val="006A5669"/>
    <w:rsid w:val="006A6726"/>
    <w:rsid w:val="006A79D4"/>
    <w:rsid w:val="006A79F4"/>
    <w:rsid w:val="006A7A6F"/>
    <w:rsid w:val="006B0C04"/>
    <w:rsid w:val="006B3AF3"/>
    <w:rsid w:val="006B40A1"/>
    <w:rsid w:val="006B5BE7"/>
    <w:rsid w:val="006B6B27"/>
    <w:rsid w:val="006B795E"/>
    <w:rsid w:val="006C0259"/>
    <w:rsid w:val="006C09BE"/>
    <w:rsid w:val="006C0F2F"/>
    <w:rsid w:val="006C1899"/>
    <w:rsid w:val="006C1A19"/>
    <w:rsid w:val="006C25EB"/>
    <w:rsid w:val="006C2E88"/>
    <w:rsid w:val="006C5827"/>
    <w:rsid w:val="006C66F0"/>
    <w:rsid w:val="006D3530"/>
    <w:rsid w:val="006D4176"/>
    <w:rsid w:val="006D46E1"/>
    <w:rsid w:val="006D7BCC"/>
    <w:rsid w:val="006E0301"/>
    <w:rsid w:val="006E0EFC"/>
    <w:rsid w:val="006E16DE"/>
    <w:rsid w:val="006E2739"/>
    <w:rsid w:val="006E2849"/>
    <w:rsid w:val="006E2962"/>
    <w:rsid w:val="006E3A59"/>
    <w:rsid w:val="006E4DA0"/>
    <w:rsid w:val="006E5608"/>
    <w:rsid w:val="006E5945"/>
    <w:rsid w:val="006E631F"/>
    <w:rsid w:val="006E6F96"/>
    <w:rsid w:val="006E726E"/>
    <w:rsid w:val="006E7820"/>
    <w:rsid w:val="006E7EC9"/>
    <w:rsid w:val="006F0BA9"/>
    <w:rsid w:val="006F1C4F"/>
    <w:rsid w:val="006F25F6"/>
    <w:rsid w:val="006F326A"/>
    <w:rsid w:val="006F3799"/>
    <w:rsid w:val="006F3B9C"/>
    <w:rsid w:val="006F4624"/>
    <w:rsid w:val="006F4C8B"/>
    <w:rsid w:val="006F5FCB"/>
    <w:rsid w:val="006F6A4B"/>
    <w:rsid w:val="006F6B79"/>
    <w:rsid w:val="0070003D"/>
    <w:rsid w:val="007026D3"/>
    <w:rsid w:val="00703098"/>
    <w:rsid w:val="007037CA"/>
    <w:rsid w:val="0070398F"/>
    <w:rsid w:val="0070474E"/>
    <w:rsid w:val="007058E3"/>
    <w:rsid w:val="00705F89"/>
    <w:rsid w:val="007062C5"/>
    <w:rsid w:val="00707A82"/>
    <w:rsid w:val="00710260"/>
    <w:rsid w:val="0071142C"/>
    <w:rsid w:val="00712EC5"/>
    <w:rsid w:val="0071322C"/>
    <w:rsid w:val="0071713F"/>
    <w:rsid w:val="00721F8C"/>
    <w:rsid w:val="0072337C"/>
    <w:rsid w:val="00724441"/>
    <w:rsid w:val="00726B30"/>
    <w:rsid w:val="007303DA"/>
    <w:rsid w:val="007311EE"/>
    <w:rsid w:val="0073162D"/>
    <w:rsid w:val="007319ED"/>
    <w:rsid w:val="007329F9"/>
    <w:rsid w:val="007335BC"/>
    <w:rsid w:val="007335C4"/>
    <w:rsid w:val="00734915"/>
    <w:rsid w:val="00735F27"/>
    <w:rsid w:val="00736A9D"/>
    <w:rsid w:val="007373DA"/>
    <w:rsid w:val="007400A2"/>
    <w:rsid w:val="00740C55"/>
    <w:rsid w:val="00740D56"/>
    <w:rsid w:val="00741221"/>
    <w:rsid w:val="007423BF"/>
    <w:rsid w:val="00743446"/>
    <w:rsid w:val="007437F8"/>
    <w:rsid w:val="00743CAE"/>
    <w:rsid w:val="0074425B"/>
    <w:rsid w:val="00745E3A"/>
    <w:rsid w:val="00747277"/>
    <w:rsid w:val="00747314"/>
    <w:rsid w:val="00747879"/>
    <w:rsid w:val="007503C5"/>
    <w:rsid w:val="00750547"/>
    <w:rsid w:val="007506D6"/>
    <w:rsid w:val="00753622"/>
    <w:rsid w:val="007541F5"/>
    <w:rsid w:val="00754D9B"/>
    <w:rsid w:val="00754DD4"/>
    <w:rsid w:val="00755D7C"/>
    <w:rsid w:val="00755E34"/>
    <w:rsid w:val="00756515"/>
    <w:rsid w:val="00757587"/>
    <w:rsid w:val="007575D0"/>
    <w:rsid w:val="007604E9"/>
    <w:rsid w:val="0076066B"/>
    <w:rsid w:val="007608D9"/>
    <w:rsid w:val="00760E58"/>
    <w:rsid w:val="00760FD4"/>
    <w:rsid w:val="007615B3"/>
    <w:rsid w:val="00762025"/>
    <w:rsid w:val="007623D1"/>
    <w:rsid w:val="007642CB"/>
    <w:rsid w:val="00766D3A"/>
    <w:rsid w:val="00767D46"/>
    <w:rsid w:val="00770016"/>
    <w:rsid w:val="0077071B"/>
    <w:rsid w:val="0077091A"/>
    <w:rsid w:val="00770DDD"/>
    <w:rsid w:val="007717DC"/>
    <w:rsid w:val="00771B7C"/>
    <w:rsid w:val="007725A5"/>
    <w:rsid w:val="00772AEC"/>
    <w:rsid w:val="007734A5"/>
    <w:rsid w:val="007744C7"/>
    <w:rsid w:val="00774C76"/>
    <w:rsid w:val="0077567D"/>
    <w:rsid w:val="00776923"/>
    <w:rsid w:val="00776EAB"/>
    <w:rsid w:val="00780ADC"/>
    <w:rsid w:val="00780CFF"/>
    <w:rsid w:val="00781374"/>
    <w:rsid w:val="00781843"/>
    <w:rsid w:val="007820DC"/>
    <w:rsid w:val="00782A43"/>
    <w:rsid w:val="00784148"/>
    <w:rsid w:val="007845BF"/>
    <w:rsid w:val="0078572F"/>
    <w:rsid w:val="00787D49"/>
    <w:rsid w:val="007915B6"/>
    <w:rsid w:val="00793531"/>
    <w:rsid w:val="0079367F"/>
    <w:rsid w:val="007942A2"/>
    <w:rsid w:val="00794678"/>
    <w:rsid w:val="00794A5A"/>
    <w:rsid w:val="00794F1F"/>
    <w:rsid w:val="0079720F"/>
    <w:rsid w:val="007A0222"/>
    <w:rsid w:val="007A0BA4"/>
    <w:rsid w:val="007A115E"/>
    <w:rsid w:val="007A13AF"/>
    <w:rsid w:val="007A14F6"/>
    <w:rsid w:val="007A1ACC"/>
    <w:rsid w:val="007A2B62"/>
    <w:rsid w:val="007A3390"/>
    <w:rsid w:val="007A4A44"/>
    <w:rsid w:val="007A5C99"/>
    <w:rsid w:val="007A5E52"/>
    <w:rsid w:val="007A5EDC"/>
    <w:rsid w:val="007A6595"/>
    <w:rsid w:val="007A6745"/>
    <w:rsid w:val="007A68F7"/>
    <w:rsid w:val="007A74AB"/>
    <w:rsid w:val="007B01FD"/>
    <w:rsid w:val="007B1902"/>
    <w:rsid w:val="007B223C"/>
    <w:rsid w:val="007B244A"/>
    <w:rsid w:val="007B2F94"/>
    <w:rsid w:val="007B30BF"/>
    <w:rsid w:val="007B32AC"/>
    <w:rsid w:val="007B3808"/>
    <w:rsid w:val="007B3E80"/>
    <w:rsid w:val="007B55D9"/>
    <w:rsid w:val="007B5978"/>
    <w:rsid w:val="007B6999"/>
    <w:rsid w:val="007B6AB0"/>
    <w:rsid w:val="007B742F"/>
    <w:rsid w:val="007B7565"/>
    <w:rsid w:val="007B79D9"/>
    <w:rsid w:val="007C0581"/>
    <w:rsid w:val="007C0C2E"/>
    <w:rsid w:val="007C18CE"/>
    <w:rsid w:val="007C1B00"/>
    <w:rsid w:val="007C272E"/>
    <w:rsid w:val="007C3DDB"/>
    <w:rsid w:val="007C41FB"/>
    <w:rsid w:val="007C4225"/>
    <w:rsid w:val="007C46B1"/>
    <w:rsid w:val="007C5078"/>
    <w:rsid w:val="007C53AC"/>
    <w:rsid w:val="007C5771"/>
    <w:rsid w:val="007C64C1"/>
    <w:rsid w:val="007D011A"/>
    <w:rsid w:val="007D0162"/>
    <w:rsid w:val="007D1D78"/>
    <w:rsid w:val="007D267C"/>
    <w:rsid w:val="007D3296"/>
    <w:rsid w:val="007D4AC0"/>
    <w:rsid w:val="007D6C43"/>
    <w:rsid w:val="007D79EF"/>
    <w:rsid w:val="007D7A69"/>
    <w:rsid w:val="007E01FF"/>
    <w:rsid w:val="007E03E7"/>
    <w:rsid w:val="007E06E7"/>
    <w:rsid w:val="007E0B2B"/>
    <w:rsid w:val="007E148D"/>
    <w:rsid w:val="007E23CE"/>
    <w:rsid w:val="007E2CE0"/>
    <w:rsid w:val="007E7EB2"/>
    <w:rsid w:val="007F10B1"/>
    <w:rsid w:val="007F1A54"/>
    <w:rsid w:val="007F232E"/>
    <w:rsid w:val="007F334D"/>
    <w:rsid w:val="007F3BC7"/>
    <w:rsid w:val="007F4551"/>
    <w:rsid w:val="007F4F73"/>
    <w:rsid w:val="007F5CE3"/>
    <w:rsid w:val="007F5D87"/>
    <w:rsid w:val="007F793D"/>
    <w:rsid w:val="008000E8"/>
    <w:rsid w:val="00800A7E"/>
    <w:rsid w:val="00801038"/>
    <w:rsid w:val="008011F8"/>
    <w:rsid w:val="00801832"/>
    <w:rsid w:val="00801C4E"/>
    <w:rsid w:val="00802027"/>
    <w:rsid w:val="008028B6"/>
    <w:rsid w:val="00802A5A"/>
    <w:rsid w:val="0080306D"/>
    <w:rsid w:val="00803733"/>
    <w:rsid w:val="00804896"/>
    <w:rsid w:val="00805A0D"/>
    <w:rsid w:val="00805E88"/>
    <w:rsid w:val="00806168"/>
    <w:rsid w:val="008068D2"/>
    <w:rsid w:val="00806F66"/>
    <w:rsid w:val="00810FB9"/>
    <w:rsid w:val="00811751"/>
    <w:rsid w:val="00811ED0"/>
    <w:rsid w:val="00812320"/>
    <w:rsid w:val="008134AD"/>
    <w:rsid w:val="00813C7C"/>
    <w:rsid w:val="008142F0"/>
    <w:rsid w:val="00814EB2"/>
    <w:rsid w:val="00816B22"/>
    <w:rsid w:val="008175E9"/>
    <w:rsid w:val="008177AC"/>
    <w:rsid w:val="00817809"/>
    <w:rsid w:val="00820034"/>
    <w:rsid w:val="00820A58"/>
    <w:rsid w:val="0082140A"/>
    <w:rsid w:val="00821899"/>
    <w:rsid w:val="0082268E"/>
    <w:rsid w:val="0082289D"/>
    <w:rsid w:val="008230F5"/>
    <w:rsid w:val="00823990"/>
    <w:rsid w:val="00824352"/>
    <w:rsid w:val="0082574E"/>
    <w:rsid w:val="00826E41"/>
    <w:rsid w:val="00827E4B"/>
    <w:rsid w:val="00830F97"/>
    <w:rsid w:val="00831675"/>
    <w:rsid w:val="00831682"/>
    <w:rsid w:val="00831DB2"/>
    <w:rsid w:val="00832CDF"/>
    <w:rsid w:val="00834058"/>
    <w:rsid w:val="00834C69"/>
    <w:rsid w:val="00837040"/>
    <w:rsid w:val="0083726B"/>
    <w:rsid w:val="008372F2"/>
    <w:rsid w:val="00837870"/>
    <w:rsid w:val="00840BCD"/>
    <w:rsid w:val="0084183A"/>
    <w:rsid w:val="008420C3"/>
    <w:rsid w:val="00842209"/>
    <w:rsid w:val="00842934"/>
    <w:rsid w:val="00842AFE"/>
    <w:rsid w:val="0084432A"/>
    <w:rsid w:val="00850863"/>
    <w:rsid w:val="00852F20"/>
    <w:rsid w:val="00853799"/>
    <w:rsid w:val="00853F0B"/>
    <w:rsid w:val="00855352"/>
    <w:rsid w:val="00855730"/>
    <w:rsid w:val="00855DB5"/>
    <w:rsid w:val="008565DD"/>
    <w:rsid w:val="0086041B"/>
    <w:rsid w:val="008608C9"/>
    <w:rsid w:val="00860AEE"/>
    <w:rsid w:val="00861A12"/>
    <w:rsid w:val="00861B5B"/>
    <w:rsid w:val="0086239F"/>
    <w:rsid w:val="008624B2"/>
    <w:rsid w:val="008625E9"/>
    <w:rsid w:val="00863EFD"/>
    <w:rsid w:val="0086445C"/>
    <w:rsid w:val="008648AC"/>
    <w:rsid w:val="008676DE"/>
    <w:rsid w:val="00867D56"/>
    <w:rsid w:val="00870ACC"/>
    <w:rsid w:val="008722E5"/>
    <w:rsid w:val="00872AD7"/>
    <w:rsid w:val="008734D5"/>
    <w:rsid w:val="008742AE"/>
    <w:rsid w:val="00874310"/>
    <w:rsid w:val="00875163"/>
    <w:rsid w:val="00875B40"/>
    <w:rsid w:val="008765E5"/>
    <w:rsid w:val="008801DE"/>
    <w:rsid w:val="008809ED"/>
    <w:rsid w:val="00880C2E"/>
    <w:rsid w:val="008819B9"/>
    <w:rsid w:val="0089002A"/>
    <w:rsid w:val="0089015F"/>
    <w:rsid w:val="00890201"/>
    <w:rsid w:val="0089028D"/>
    <w:rsid w:val="00891055"/>
    <w:rsid w:val="00891FEC"/>
    <w:rsid w:val="00892A21"/>
    <w:rsid w:val="008936D6"/>
    <w:rsid w:val="008938E8"/>
    <w:rsid w:val="008944B7"/>
    <w:rsid w:val="008961DD"/>
    <w:rsid w:val="00896CEE"/>
    <w:rsid w:val="00897505"/>
    <w:rsid w:val="008978B3"/>
    <w:rsid w:val="008A25A7"/>
    <w:rsid w:val="008A5814"/>
    <w:rsid w:val="008A6E13"/>
    <w:rsid w:val="008A7458"/>
    <w:rsid w:val="008A74BE"/>
    <w:rsid w:val="008A7816"/>
    <w:rsid w:val="008A782C"/>
    <w:rsid w:val="008B0242"/>
    <w:rsid w:val="008B0415"/>
    <w:rsid w:val="008B182C"/>
    <w:rsid w:val="008B1F76"/>
    <w:rsid w:val="008B24C0"/>
    <w:rsid w:val="008B253E"/>
    <w:rsid w:val="008B2BE5"/>
    <w:rsid w:val="008B459C"/>
    <w:rsid w:val="008B50F3"/>
    <w:rsid w:val="008B740B"/>
    <w:rsid w:val="008C1193"/>
    <w:rsid w:val="008C24E0"/>
    <w:rsid w:val="008C4E38"/>
    <w:rsid w:val="008C53B9"/>
    <w:rsid w:val="008C58AB"/>
    <w:rsid w:val="008C6013"/>
    <w:rsid w:val="008C6770"/>
    <w:rsid w:val="008D045A"/>
    <w:rsid w:val="008D0CED"/>
    <w:rsid w:val="008D1205"/>
    <w:rsid w:val="008D1232"/>
    <w:rsid w:val="008D17D2"/>
    <w:rsid w:val="008D4BD1"/>
    <w:rsid w:val="008D4C64"/>
    <w:rsid w:val="008D6027"/>
    <w:rsid w:val="008D7799"/>
    <w:rsid w:val="008D7871"/>
    <w:rsid w:val="008E16A3"/>
    <w:rsid w:val="008E3297"/>
    <w:rsid w:val="008E33E8"/>
    <w:rsid w:val="008E427A"/>
    <w:rsid w:val="008E452F"/>
    <w:rsid w:val="008E4FDA"/>
    <w:rsid w:val="008E5256"/>
    <w:rsid w:val="008E60AE"/>
    <w:rsid w:val="008E6F5F"/>
    <w:rsid w:val="008E7325"/>
    <w:rsid w:val="008E754A"/>
    <w:rsid w:val="008E794B"/>
    <w:rsid w:val="008F10BF"/>
    <w:rsid w:val="008F1697"/>
    <w:rsid w:val="008F1D50"/>
    <w:rsid w:val="008F20DB"/>
    <w:rsid w:val="008F2CD9"/>
    <w:rsid w:val="008F43B3"/>
    <w:rsid w:val="008F507D"/>
    <w:rsid w:val="008F50AB"/>
    <w:rsid w:val="008F555E"/>
    <w:rsid w:val="008F68C9"/>
    <w:rsid w:val="008F6E28"/>
    <w:rsid w:val="008F6E2D"/>
    <w:rsid w:val="008F7F95"/>
    <w:rsid w:val="009006B9"/>
    <w:rsid w:val="00900B01"/>
    <w:rsid w:val="009012A7"/>
    <w:rsid w:val="00901AEF"/>
    <w:rsid w:val="00901D88"/>
    <w:rsid w:val="00904943"/>
    <w:rsid w:val="00904C11"/>
    <w:rsid w:val="00906B9D"/>
    <w:rsid w:val="00910316"/>
    <w:rsid w:val="0091079C"/>
    <w:rsid w:val="009118B2"/>
    <w:rsid w:val="00913AF4"/>
    <w:rsid w:val="00913C3B"/>
    <w:rsid w:val="00913DBC"/>
    <w:rsid w:val="009143A7"/>
    <w:rsid w:val="00914764"/>
    <w:rsid w:val="00915302"/>
    <w:rsid w:val="00915DEB"/>
    <w:rsid w:val="00915ED1"/>
    <w:rsid w:val="00916441"/>
    <w:rsid w:val="00916446"/>
    <w:rsid w:val="00916C53"/>
    <w:rsid w:val="0091724E"/>
    <w:rsid w:val="0091739B"/>
    <w:rsid w:val="009200CD"/>
    <w:rsid w:val="0092021B"/>
    <w:rsid w:val="009206F1"/>
    <w:rsid w:val="00920CEA"/>
    <w:rsid w:val="00921421"/>
    <w:rsid w:val="0092226B"/>
    <w:rsid w:val="009227FE"/>
    <w:rsid w:val="009239EF"/>
    <w:rsid w:val="009242C0"/>
    <w:rsid w:val="00924670"/>
    <w:rsid w:val="009256BD"/>
    <w:rsid w:val="009257FF"/>
    <w:rsid w:val="00925D2B"/>
    <w:rsid w:val="0092721A"/>
    <w:rsid w:val="009300EE"/>
    <w:rsid w:val="00930C4E"/>
    <w:rsid w:val="00931005"/>
    <w:rsid w:val="00931399"/>
    <w:rsid w:val="00931D40"/>
    <w:rsid w:val="00932A33"/>
    <w:rsid w:val="00933EAB"/>
    <w:rsid w:val="0093473F"/>
    <w:rsid w:val="00934EEE"/>
    <w:rsid w:val="00936337"/>
    <w:rsid w:val="00936ABF"/>
    <w:rsid w:val="00936BCC"/>
    <w:rsid w:val="00936E7B"/>
    <w:rsid w:val="0093735C"/>
    <w:rsid w:val="00940D3E"/>
    <w:rsid w:val="00941871"/>
    <w:rsid w:val="00941A98"/>
    <w:rsid w:val="00941B51"/>
    <w:rsid w:val="00942F1F"/>
    <w:rsid w:val="009431D8"/>
    <w:rsid w:val="00944D96"/>
    <w:rsid w:val="0094509E"/>
    <w:rsid w:val="009452EE"/>
    <w:rsid w:val="00945CEC"/>
    <w:rsid w:val="00946EB5"/>
    <w:rsid w:val="0095060E"/>
    <w:rsid w:val="00950761"/>
    <w:rsid w:val="009510EA"/>
    <w:rsid w:val="0095175C"/>
    <w:rsid w:val="0095442D"/>
    <w:rsid w:val="00954FA1"/>
    <w:rsid w:val="009556B0"/>
    <w:rsid w:val="0095731B"/>
    <w:rsid w:val="009577E3"/>
    <w:rsid w:val="00957C91"/>
    <w:rsid w:val="00960F8C"/>
    <w:rsid w:val="00961B84"/>
    <w:rsid w:val="009623DE"/>
    <w:rsid w:val="00962A5D"/>
    <w:rsid w:val="00963252"/>
    <w:rsid w:val="00963776"/>
    <w:rsid w:val="00963C9A"/>
    <w:rsid w:val="009642AC"/>
    <w:rsid w:val="00964AB9"/>
    <w:rsid w:val="00966EB9"/>
    <w:rsid w:val="00967414"/>
    <w:rsid w:val="00967D29"/>
    <w:rsid w:val="00970002"/>
    <w:rsid w:val="00970905"/>
    <w:rsid w:val="00972425"/>
    <w:rsid w:val="0097276D"/>
    <w:rsid w:val="00973DD9"/>
    <w:rsid w:val="009741EB"/>
    <w:rsid w:val="00974840"/>
    <w:rsid w:val="0097535D"/>
    <w:rsid w:val="00975AE2"/>
    <w:rsid w:val="00975C6F"/>
    <w:rsid w:val="00975F79"/>
    <w:rsid w:val="009802E0"/>
    <w:rsid w:val="00980417"/>
    <w:rsid w:val="009826CB"/>
    <w:rsid w:val="00982B18"/>
    <w:rsid w:val="009849A2"/>
    <w:rsid w:val="009849F2"/>
    <w:rsid w:val="00984B4B"/>
    <w:rsid w:val="00985240"/>
    <w:rsid w:val="009854E7"/>
    <w:rsid w:val="009857E8"/>
    <w:rsid w:val="009864A8"/>
    <w:rsid w:val="00987D2B"/>
    <w:rsid w:val="00991767"/>
    <w:rsid w:val="00993B89"/>
    <w:rsid w:val="00996201"/>
    <w:rsid w:val="00997F7B"/>
    <w:rsid w:val="009A06D2"/>
    <w:rsid w:val="009A0C3D"/>
    <w:rsid w:val="009A3448"/>
    <w:rsid w:val="009A37A7"/>
    <w:rsid w:val="009A4991"/>
    <w:rsid w:val="009A4B79"/>
    <w:rsid w:val="009A4E8D"/>
    <w:rsid w:val="009A5D17"/>
    <w:rsid w:val="009A668D"/>
    <w:rsid w:val="009B0C5B"/>
    <w:rsid w:val="009B118D"/>
    <w:rsid w:val="009B1452"/>
    <w:rsid w:val="009B1E5E"/>
    <w:rsid w:val="009B2810"/>
    <w:rsid w:val="009B2AE8"/>
    <w:rsid w:val="009B320C"/>
    <w:rsid w:val="009B71D0"/>
    <w:rsid w:val="009C01FD"/>
    <w:rsid w:val="009C0B4C"/>
    <w:rsid w:val="009C3019"/>
    <w:rsid w:val="009C3B5D"/>
    <w:rsid w:val="009C445B"/>
    <w:rsid w:val="009C44D2"/>
    <w:rsid w:val="009C5292"/>
    <w:rsid w:val="009C5C71"/>
    <w:rsid w:val="009C637F"/>
    <w:rsid w:val="009C65FE"/>
    <w:rsid w:val="009C7417"/>
    <w:rsid w:val="009C7E89"/>
    <w:rsid w:val="009C7EB1"/>
    <w:rsid w:val="009D09CA"/>
    <w:rsid w:val="009D0A75"/>
    <w:rsid w:val="009D1E1D"/>
    <w:rsid w:val="009D1F1F"/>
    <w:rsid w:val="009D3043"/>
    <w:rsid w:val="009D3899"/>
    <w:rsid w:val="009D7DF5"/>
    <w:rsid w:val="009D7ED1"/>
    <w:rsid w:val="009E0C5B"/>
    <w:rsid w:val="009E0D44"/>
    <w:rsid w:val="009E1BB3"/>
    <w:rsid w:val="009E1ED6"/>
    <w:rsid w:val="009E304E"/>
    <w:rsid w:val="009E3D2B"/>
    <w:rsid w:val="009E5789"/>
    <w:rsid w:val="009E681B"/>
    <w:rsid w:val="009E6A6B"/>
    <w:rsid w:val="009F09CD"/>
    <w:rsid w:val="009F50DF"/>
    <w:rsid w:val="009F5C89"/>
    <w:rsid w:val="009F65D1"/>
    <w:rsid w:val="009F7A93"/>
    <w:rsid w:val="00A009B1"/>
    <w:rsid w:val="00A03D85"/>
    <w:rsid w:val="00A06071"/>
    <w:rsid w:val="00A0723B"/>
    <w:rsid w:val="00A0786D"/>
    <w:rsid w:val="00A10154"/>
    <w:rsid w:val="00A11684"/>
    <w:rsid w:val="00A117AC"/>
    <w:rsid w:val="00A11E1E"/>
    <w:rsid w:val="00A11E36"/>
    <w:rsid w:val="00A12DE5"/>
    <w:rsid w:val="00A12EC9"/>
    <w:rsid w:val="00A13CC0"/>
    <w:rsid w:val="00A144E6"/>
    <w:rsid w:val="00A14C1D"/>
    <w:rsid w:val="00A15EFD"/>
    <w:rsid w:val="00A15FE0"/>
    <w:rsid w:val="00A160E5"/>
    <w:rsid w:val="00A17616"/>
    <w:rsid w:val="00A21646"/>
    <w:rsid w:val="00A23FAC"/>
    <w:rsid w:val="00A24C53"/>
    <w:rsid w:val="00A2504D"/>
    <w:rsid w:val="00A2544C"/>
    <w:rsid w:val="00A257BE"/>
    <w:rsid w:val="00A272C4"/>
    <w:rsid w:val="00A27A86"/>
    <w:rsid w:val="00A27B90"/>
    <w:rsid w:val="00A307C6"/>
    <w:rsid w:val="00A31FCD"/>
    <w:rsid w:val="00A32053"/>
    <w:rsid w:val="00A321F6"/>
    <w:rsid w:val="00A32210"/>
    <w:rsid w:val="00A33D02"/>
    <w:rsid w:val="00A35503"/>
    <w:rsid w:val="00A35569"/>
    <w:rsid w:val="00A36FA7"/>
    <w:rsid w:val="00A373EE"/>
    <w:rsid w:val="00A404C9"/>
    <w:rsid w:val="00A414BC"/>
    <w:rsid w:val="00A4184F"/>
    <w:rsid w:val="00A434D0"/>
    <w:rsid w:val="00A43FFC"/>
    <w:rsid w:val="00A44CF7"/>
    <w:rsid w:val="00A451B1"/>
    <w:rsid w:val="00A45854"/>
    <w:rsid w:val="00A45CC3"/>
    <w:rsid w:val="00A461AC"/>
    <w:rsid w:val="00A46841"/>
    <w:rsid w:val="00A46F60"/>
    <w:rsid w:val="00A47C53"/>
    <w:rsid w:val="00A50A2B"/>
    <w:rsid w:val="00A50BA6"/>
    <w:rsid w:val="00A51184"/>
    <w:rsid w:val="00A51523"/>
    <w:rsid w:val="00A51577"/>
    <w:rsid w:val="00A51F81"/>
    <w:rsid w:val="00A523FC"/>
    <w:rsid w:val="00A53724"/>
    <w:rsid w:val="00A5383E"/>
    <w:rsid w:val="00A542A1"/>
    <w:rsid w:val="00A54AC8"/>
    <w:rsid w:val="00A558C2"/>
    <w:rsid w:val="00A57F82"/>
    <w:rsid w:val="00A61A65"/>
    <w:rsid w:val="00A61B96"/>
    <w:rsid w:val="00A61FD6"/>
    <w:rsid w:val="00A62B83"/>
    <w:rsid w:val="00A64343"/>
    <w:rsid w:val="00A64D8C"/>
    <w:rsid w:val="00A669A0"/>
    <w:rsid w:val="00A66D21"/>
    <w:rsid w:val="00A70F67"/>
    <w:rsid w:val="00A7109F"/>
    <w:rsid w:val="00A713E4"/>
    <w:rsid w:val="00A72253"/>
    <w:rsid w:val="00A7308C"/>
    <w:rsid w:val="00A73B90"/>
    <w:rsid w:val="00A73BF8"/>
    <w:rsid w:val="00A74303"/>
    <w:rsid w:val="00A74530"/>
    <w:rsid w:val="00A7474F"/>
    <w:rsid w:val="00A75077"/>
    <w:rsid w:val="00A75261"/>
    <w:rsid w:val="00A77C7A"/>
    <w:rsid w:val="00A77D34"/>
    <w:rsid w:val="00A8085A"/>
    <w:rsid w:val="00A81947"/>
    <w:rsid w:val="00A8298E"/>
    <w:rsid w:val="00A8429D"/>
    <w:rsid w:val="00A842B2"/>
    <w:rsid w:val="00A879AD"/>
    <w:rsid w:val="00A90A48"/>
    <w:rsid w:val="00A90F6F"/>
    <w:rsid w:val="00A92074"/>
    <w:rsid w:val="00A93058"/>
    <w:rsid w:val="00A93F6D"/>
    <w:rsid w:val="00A94BC3"/>
    <w:rsid w:val="00A95063"/>
    <w:rsid w:val="00A951F9"/>
    <w:rsid w:val="00AA0018"/>
    <w:rsid w:val="00AA24E8"/>
    <w:rsid w:val="00AA49E7"/>
    <w:rsid w:val="00AA6199"/>
    <w:rsid w:val="00AA64A8"/>
    <w:rsid w:val="00AA6598"/>
    <w:rsid w:val="00AA7788"/>
    <w:rsid w:val="00AB219D"/>
    <w:rsid w:val="00AB3303"/>
    <w:rsid w:val="00AB4630"/>
    <w:rsid w:val="00AB5ADE"/>
    <w:rsid w:val="00AB7603"/>
    <w:rsid w:val="00AC0074"/>
    <w:rsid w:val="00AC0218"/>
    <w:rsid w:val="00AC0DB7"/>
    <w:rsid w:val="00AC10CC"/>
    <w:rsid w:val="00AC2AA5"/>
    <w:rsid w:val="00AC5E7B"/>
    <w:rsid w:val="00AC6C6D"/>
    <w:rsid w:val="00AC7F0E"/>
    <w:rsid w:val="00AD15E3"/>
    <w:rsid w:val="00AD1F24"/>
    <w:rsid w:val="00AD3399"/>
    <w:rsid w:val="00AD3580"/>
    <w:rsid w:val="00AD4290"/>
    <w:rsid w:val="00AD4EDF"/>
    <w:rsid w:val="00AD551D"/>
    <w:rsid w:val="00AD6477"/>
    <w:rsid w:val="00AD694A"/>
    <w:rsid w:val="00AD6B6D"/>
    <w:rsid w:val="00AD7E5D"/>
    <w:rsid w:val="00AE0015"/>
    <w:rsid w:val="00AE0487"/>
    <w:rsid w:val="00AE0E40"/>
    <w:rsid w:val="00AE1D31"/>
    <w:rsid w:val="00AE2371"/>
    <w:rsid w:val="00AE40DD"/>
    <w:rsid w:val="00AE58BE"/>
    <w:rsid w:val="00AF0124"/>
    <w:rsid w:val="00AF228A"/>
    <w:rsid w:val="00AF2373"/>
    <w:rsid w:val="00AF24D8"/>
    <w:rsid w:val="00AF2676"/>
    <w:rsid w:val="00AF39DC"/>
    <w:rsid w:val="00AF5356"/>
    <w:rsid w:val="00AF7C71"/>
    <w:rsid w:val="00B006C5"/>
    <w:rsid w:val="00B00882"/>
    <w:rsid w:val="00B01023"/>
    <w:rsid w:val="00B018BA"/>
    <w:rsid w:val="00B0277C"/>
    <w:rsid w:val="00B031FC"/>
    <w:rsid w:val="00B0349C"/>
    <w:rsid w:val="00B04936"/>
    <w:rsid w:val="00B05676"/>
    <w:rsid w:val="00B05EB1"/>
    <w:rsid w:val="00B07208"/>
    <w:rsid w:val="00B078CA"/>
    <w:rsid w:val="00B10F3E"/>
    <w:rsid w:val="00B14820"/>
    <w:rsid w:val="00B155E7"/>
    <w:rsid w:val="00B15A4B"/>
    <w:rsid w:val="00B1615A"/>
    <w:rsid w:val="00B16C65"/>
    <w:rsid w:val="00B20E1B"/>
    <w:rsid w:val="00B22A87"/>
    <w:rsid w:val="00B22BEB"/>
    <w:rsid w:val="00B22D14"/>
    <w:rsid w:val="00B23447"/>
    <w:rsid w:val="00B237EB"/>
    <w:rsid w:val="00B23BAE"/>
    <w:rsid w:val="00B23F55"/>
    <w:rsid w:val="00B2639D"/>
    <w:rsid w:val="00B2757C"/>
    <w:rsid w:val="00B30615"/>
    <w:rsid w:val="00B307E6"/>
    <w:rsid w:val="00B31341"/>
    <w:rsid w:val="00B32368"/>
    <w:rsid w:val="00B33A29"/>
    <w:rsid w:val="00B35F0C"/>
    <w:rsid w:val="00B410C6"/>
    <w:rsid w:val="00B42646"/>
    <w:rsid w:val="00B43FCD"/>
    <w:rsid w:val="00B44395"/>
    <w:rsid w:val="00B44753"/>
    <w:rsid w:val="00B44F69"/>
    <w:rsid w:val="00B45E5C"/>
    <w:rsid w:val="00B4612B"/>
    <w:rsid w:val="00B471CA"/>
    <w:rsid w:val="00B47D77"/>
    <w:rsid w:val="00B500BE"/>
    <w:rsid w:val="00B50612"/>
    <w:rsid w:val="00B522CD"/>
    <w:rsid w:val="00B523FF"/>
    <w:rsid w:val="00B52820"/>
    <w:rsid w:val="00B53D0E"/>
    <w:rsid w:val="00B53E69"/>
    <w:rsid w:val="00B54B97"/>
    <w:rsid w:val="00B555CB"/>
    <w:rsid w:val="00B574D2"/>
    <w:rsid w:val="00B57A47"/>
    <w:rsid w:val="00B57FDA"/>
    <w:rsid w:val="00B60303"/>
    <w:rsid w:val="00B60895"/>
    <w:rsid w:val="00B6126B"/>
    <w:rsid w:val="00B617F8"/>
    <w:rsid w:val="00B61F33"/>
    <w:rsid w:val="00B626C7"/>
    <w:rsid w:val="00B639B6"/>
    <w:rsid w:val="00B63D5B"/>
    <w:rsid w:val="00B63FA4"/>
    <w:rsid w:val="00B6403A"/>
    <w:rsid w:val="00B6566D"/>
    <w:rsid w:val="00B67767"/>
    <w:rsid w:val="00B67BC8"/>
    <w:rsid w:val="00B70828"/>
    <w:rsid w:val="00B70FFD"/>
    <w:rsid w:val="00B730B5"/>
    <w:rsid w:val="00B74863"/>
    <w:rsid w:val="00B75FE2"/>
    <w:rsid w:val="00B76621"/>
    <w:rsid w:val="00B80143"/>
    <w:rsid w:val="00B803AB"/>
    <w:rsid w:val="00B808ED"/>
    <w:rsid w:val="00B80E3B"/>
    <w:rsid w:val="00B85587"/>
    <w:rsid w:val="00B86B2E"/>
    <w:rsid w:val="00B91EF7"/>
    <w:rsid w:val="00B92498"/>
    <w:rsid w:val="00B92C92"/>
    <w:rsid w:val="00B92F94"/>
    <w:rsid w:val="00B93C8F"/>
    <w:rsid w:val="00B95DA6"/>
    <w:rsid w:val="00B96FE5"/>
    <w:rsid w:val="00B97096"/>
    <w:rsid w:val="00B9767B"/>
    <w:rsid w:val="00BA129D"/>
    <w:rsid w:val="00BA24ED"/>
    <w:rsid w:val="00BA2D30"/>
    <w:rsid w:val="00BA4AFB"/>
    <w:rsid w:val="00BA65FD"/>
    <w:rsid w:val="00BA6F9E"/>
    <w:rsid w:val="00BB03E2"/>
    <w:rsid w:val="00BB0F67"/>
    <w:rsid w:val="00BB1712"/>
    <w:rsid w:val="00BB1895"/>
    <w:rsid w:val="00BB2723"/>
    <w:rsid w:val="00BB2F99"/>
    <w:rsid w:val="00BB4422"/>
    <w:rsid w:val="00BB48D8"/>
    <w:rsid w:val="00BB540B"/>
    <w:rsid w:val="00BB66F8"/>
    <w:rsid w:val="00BB686D"/>
    <w:rsid w:val="00BB71C3"/>
    <w:rsid w:val="00BC090E"/>
    <w:rsid w:val="00BC0ECC"/>
    <w:rsid w:val="00BC1F8E"/>
    <w:rsid w:val="00BC251F"/>
    <w:rsid w:val="00BC33D2"/>
    <w:rsid w:val="00BC3A11"/>
    <w:rsid w:val="00BC500D"/>
    <w:rsid w:val="00BC5557"/>
    <w:rsid w:val="00BC588D"/>
    <w:rsid w:val="00BC6BA9"/>
    <w:rsid w:val="00BD00CD"/>
    <w:rsid w:val="00BD0315"/>
    <w:rsid w:val="00BD09E8"/>
    <w:rsid w:val="00BD0A0B"/>
    <w:rsid w:val="00BD1077"/>
    <w:rsid w:val="00BD294B"/>
    <w:rsid w:val="00BD3926"/>
    <w:rsid w:val="00BD419C"/>
    <w:rsid w:val="00BD60AE"/>
    <w:rsid w:val="00BD61DD"/>
    <w:rsid w:val="00BD6458"/>
    <w:rsid w:val="00BD66EE"/>
    <w:rsid w:val="00BD68DB"/>
    <w:rsid w:val="00BD7D7B"/>
    <w:rsid w:val="00BE0035"/>
    <w:rsid w:val="00BE0CE1"/>
    <w:rsid w:val="00BE10CC"/>
    <w:rsid w:val="00BE13E6"/>
    <w:rsid w:val="00BE21C7"/>
    <w:rsid w:val="00BE2BA4"/>
    <w:rsid w:val="00BE3FDA"/>
    <w:rsid w:val="00BE4740"/>
    <w:rsid w:val="00BE5665"/>
    <w:rsid w:val="00BE6922"/>
    <w:rsid w:val="00BE6D50"/>
    <w:rsid w:val="00BE7443"/>
    <w:rsid w:val="00BF119A"/>
    <w:rsid w:val="00BF27A2"/>
    <w:rsid w:val="00BF293C"/>
    <w:rsid w:val="00BF29B2"/>
    <w:rsid w:val="00BF3910"/>
    <w:rsid w:val="00BF4B58"/>
    <w:rsid w:val="00BF655A"/>
    <w:rsid w:val="00BF7402"/>
    <w:rsid w:val="00BF74DF"/>
    <w:rsid w:val="00BF7ED5"/>
    <w:rsid w:val="00C00736"/>
    <w:rsid w:val="00C00E9B"/>
    <w:rsid w:val="00C01D6D"/>
    <w:rsid w:val="00C02EDC"/>
    <w:rsid w:val="00C039C1"/>
    <w:rsid w:val="00C03B42"/>
    <w:rsid w:val="00C04D4D"/>
    <w:rsid w:val="00C04E02"/>
    <w:rsid w:val="00C05FCE"/>
    <w:rsid w:val="00C064B8"/>
    <w:rsid w:val="00C064C2"/>
    <w:rsid w:val="00C06873"/>
    <w:rsid w:val="00C10413"/>
    <w:rsid w:val="00C107D7"/>
    <w:rsid w:val="00C1087F"/>
    <w:rsid w:val="00C10CC8"/>
    <w:rsid w:val="00C10F7B"/>
    <w:rsid w:val="00C11147"/>
    <w:rsid w:val="00C112D8"/>
    <w:rsid w:val="00C11B97"/>
    <w:rsid w:val="00C11E8C"/>
    <w:rsid w:val="00C1335C"/>
    <w:rsid w:val="00C13D82"/>
    <w:rsid w:val="00C14341"/>
    <w:rsid w:val="00C14669"/>
    <w:rsid w:val="00C17139"/>
    <w:rsid w:val="00C20840"/>
    <w:rsid w:val="00C20F83"/>
    <w:rsid w:val="00C2181F"/>
    <w:rsid w:val="00C21CF4"/>
    <w:rsid w:val="00C22951"/>
    <w:rsid w:val="00C22CBA"/>
    <w:rsid w:val="00C2304A"/>
    <w:rsid w:val="00C23AAE"/>
    <w:rsid w:val="00C23D61"/>
    <w:rsid w:val="00C23EA5"/>
    <w:rsid w:val="00C23EDC"/>
    <w:rsid w:val="00C249C8"/>
    <w:rsid w:val="00C253EF"/>
    <w:rsid w:val="00C32087"/>
    <w:rsid w:val="00C3212D"/>
    <w:rsid w:val="00C322C8"/>
    <w:rsid w:val="00C33390"/>
    <w:rsid w:val="00C334CC"/>
    <w:rsid w:val="00C33987"/>
    <w:rsid w:val="00C33E5C"/>
    <w:rsid w:val="00C34646"/>
    <w:rsid w:val="00C353AC"/>
    <w:rsid w:val="00C35606"/>
    <w:rsid w:val="00C3629F"/>
    <w:rsid w:val="00C3683B"/>
    <w:rsid w:val="00C3737D"/>
    <w:rsid w:val="00C37EE1"/>
    <w:rsid w:val="00C40F24"/>
    <w:rsid w:val="00C4297B"/>
    <w:rsid w:val="00C43E2F"/>
    <w:rsid w:val="00C44191"/>
    <w:rsid w:val="00C45E1F"/>
    <w:rsid w:val="00C46EB5"/>
    <w:rsid w:val="00C50A57"/>
    <w:rsid w:val="00C50B60"/>
    <w:rsid w:val="00C510C4"/>
    <w:rsid w:val="00C514AA"/>
    <w:rsid w:val="00C524E3"/>
    <w:rsid w:val="00C5289E"/>
    <w:rsid w:val="00C531CF"/>
    <w:rsid w:val="00C53E52"/>
    <w:rsid w:val="00C5448F"/>
    <w:rsid w:val="00C5454E"/>
    <w:rsid w:val="00C54F02"/>
    <w:rsid w:val="00C5626A"/>
    <w:rsid w:val="00C57237"/>
    <w:rsid w:val="00C576DC"/>
    <w:rsid w:val="00C60952"/>
    <w:rsid w:val="00C6119A"/>
    <w:rsid w:val="00C6231C"/>
    <w:rsid w:val="00C62FB1"/>
    <w:rsid w:val="00C638EB"/>
    <w:rsid w:val="00C6451D"/>
    <w:rsid w:val="00C64BDE"/>
    <w:rsid w:val="00C64E8B"/>
    <w:rsid w:val="00C64E98"/>
    <w:rsid w:val="00C66295"/>
    <w:rsid w:val="00C6707E"/>
    <w:rsid w:val="00C67A17"/>
    <w:rsid w:val="00C713A7"/>
    <w:rsid w:val="00C713F7"/>
    <w:rsid w:val="00C71AF8"/>
    <w:rsid w:val="00C7323F"/>
    <w:rsid w:val="00C73B09"/>
    <w:rsid w:val="00C744B5"/>
    <w:rsid w:val="00C74A34"/>
    <w:rsid w:val="00C74D04"/>
    <w:rsid w:val="00C75834"/>
    <w:rsid w:val="00C7668C"/>
    <w:rsid w:val="00C76A55"/>
    <w:rsid w:val="00C80384"/>
    <w:rsid w:val="00C820CA"/>
    <w:rsid w:val="00C82FC0"/>
    <w:rsid w:val="00C83259"/>
    <w:rsid w:val="00C8346E"/>
    <w:rsid w:val="00C83893"/>
    <w:rsid w:val="00C84185"/>
    <w:rsid w:val="00C85A80"/>
    <w:rsid w:val="00C85EC2"/>
    <w:rsid w:val="00C85FD7"/>
    <w:rsid w:val="00C86AD2"/>
    <w:rsid w:val="00C919E7"/>
    <w:rsid w:val="00C94B7B"/>
    <w:rsid w:val="00C95684"/>
    <w:rsid w:val="00C96F99"/>
    <w:rsid w:val="00C972C7"/>
    <w:rsid w:val="00C978DD"/>
    <w:rsid w:val="00C97D6A"/>
    <w:rsid w:val="00CA17FC"/>
    <w:rsid w:val="00CA3910"/>
    <w:rsid w:val="00CA4082"/>
    <w:rsid w:val="00CA412B"/>
    <w:rsid w:val="00CA6713"/>
    <w:rsid w:val="00CA7FB8"/>
    <w:rsid w:val="00CB000D"/>
    <w:rsid w:val="00CB04C1"/>
    <w:rsid w:val="00CB1080"/>
    <w:rsid w:val="00CB122B"/>
    <w:rsid w:val="00CB1955"/>
    <w:rsid w:val="00CB2213"/>
    <w:rsid w:val="00CB541D"/>
    <w:rsid w:val="00CB603B"/>
    <w:rsid w:val="00CB6A9D"/>
    <w:rsid w:val="00CB6B06"/>
    <w:rsid w:val="00CB6EE9"/>
    <w:rsid w:val="00CC083D"/>
    <w:rsid w:val="00CC0930"/>
    <w:rsid w:val="00CC093F"/>
    <w:rsid w:val="00CC30DF"/>
    <w:rsid w:val="00CC5B4B"/>
    <w:rsid w:val="00CC5D5D"/>
    <w:rsid w:val="00CC7A1C"/>
    <w:rsid w:val="00CD0572"/>
    <w:rsid w:val="00CD1002"/>
    <w:rsid w:val="00CD1DBF"/>
    <w:rsid w:val="00CD3D6C"/>
    <w:rsid w:val="00CD5DE7"/>
    <w:rsid w:val="00CD5EFD"/>
    <w:rsid w:val="00CD6B01"/>
    <w:rsid w:val="00CD7AB8"/>
    <w:rsid w:val="00CD7C11"/>
    <w:rsid w:val="00CE047A"/>
    <w:rsid w:val="00CE1519"/>
    <w:rsid w:val="00CE17A0"/>
    <w:rsid w:val="00CE1E35"/>
    <w:rsid w:val="00CE5BAB"/>
    <w:rsid w:val="00CE6141"/>
    <w:rsid w:val="00CE627B"/>
    <w:rsid w:val="00CE6880"/>
    <w:rsid w:val="00CE71AF"/>
    <w:rsid w:val="00CF07A2"/>
    <w:rsid w:val="00CF07CA"/>
    <w:rsid w:val="00CF2BF7"/>
    <w:rsid w:val="00CF4494"/>
    <w:rsid w:val="00CF4D71"/>
    <w:rsid w:val="00CF5538"/>
    <w:rsid w:val="00CF56DE"/>
    <w:rsid w:val="00CF65F6"/>
    <w:rsid w:val="00CF6D83"/>
    <w:rsid w:val="00CF762C"/>
    <w:rsid w:val="00CF7B02"/>
    <w:rsid w:val="00CF7EE9"/>
    <w:rsid w:val="00D00AFF"/>
    <w:rsid w:val="00D00B3E"/>
    <w:rsid w:val="00D00B82"/>
    <w:rsid w:val="00D020EF"/>
    <w:rsid w:val="00D029F6"/>
    <w:rsid w:val="00D02F54"/>
    <w:rsid w:val="00D05BC0"/>
    <w:rsid w:val="00D06F24"/>
    <w:rsid w:val="00D07486"/>
    <w:rsid w:val="00D1033D"/>
    <w:rsid w:val="00D11D1F"/>
    <w:rsid w:val="00D11F73"/>
    <w:rsid w:val="00D12A43"/>
    <w:rsid w:val="00D12C4C"/>
    <w:rsid w:val="00D157A2"/>
    <w:rsid w:val="00D157C3"/>
    <w:rsid w:val="00D16160"/>
    <w:rsid w:val="00D16CE5"/>
    <w:rsid w:val="00D174DA"/>
    <w:rsid w:val="00D17DBB"/>
    <w:rsid w:val="00D215CF"/>
    <w:rsid w:val="00D22B7A"/>
    <w:rsid w:val="00D2393F"/>
    <w:rsid w:val="00D24AF5"/>
    <w:rsid w:val="00D252B3"/>
    <w:rsid w:val="00D26F4A"/>
    <w:rsid w:val="00D27A0F"/>
    <w:rsid w:val="00D338DF"/>
    <w:rsid w:val="00D348E5"/>
    <w:rsid w:val="00D3500C"/>
    <w:rsid w:val="00D351D7"/>
    <w:rsid w:val="00D37080"/>
    <w:rsid w:val="00D408A7"/>
    <w:rsid w:val="00D419F5"/>
    <w:rsid w:val="00D41F3E"/>
    <w:rsid w:val="00D428DE"/>
    <w:rsid w:val="00D42F9D"/>
    <w:rsid w:val="00D4338A"/>
    <w:rsid w:val="00D4417D"/>
    <w:rsid w:val="00D44711"/>
    <w:rsid w:val="00D4484F"/>
    <w:rsid w:val="00D4495B"/>
    <w:rsid w:val="00D44D13"/>
    <w:rsid w:val="00D45171"/>
    <w:rsid w:val="00D46379"/>
    <w:rsid w:val="00D465B6"/>
    <w:rsid w:val="00D46A97"/>
    <w:rsid w:val="00D4750B"/>
    <w:rsid w:val="00D475D9"/>
    <w:rsid w:val="00D5016A"/>
    <w:rsid w:val="00D50953"/>
    <w:rsid w:val="00D50966"/>
    <w:rsid w:val="00D5156E"/>
    <w:rsid w:val="00D5217E"/>
    <w:rsid w:val="00D52679"/>
    <w:rsid w:val="00D526E7"/>
    <w:rsid w:val="00D52B11"/>
    <w:rsid w:val="00D5345F"/>
    <w:rsid w:val="00D5369D"/>
    <w:rsid w:val="00D538DC"/>
    <w:rsid w:val="00D53AD0"/>
    <w:rsid w:val="00D54704"/>
    <w:rsid w:val="00D56FA8"/>
    <w:rsid w:val="00D57D3F"/>
    <w:rsid w:val="00D607C6"/>
    <w:rsid w:val="00D60C81"/>
    <w:rsid w:val="00D60FA6"/>
    <w:rsid w:val="00D636F2"/>
    <w:rsid w:val="00D64B0F"/>
    <w:rsid w:val="00D64ED5"/>
    <w:rsid w:val="00D659E6"/>
    <w:rsid w:val="00D65D5B"/>
    <w:rsid w:val="00D661AF"/>
    <w:rsid w:val="00D662D9"/>
    <w:rsid w:val="00D66307"/>
    <w:rsid w:val="00D71B97"/>
    <w:rsid w:val="00D71E9B"/>
    <w:rsid w:val="00D72814"/>
    <w:rsid w:val="00D72A6D"/>
    <w:rsid w:val="00D72BA5"/>
    <w:rsid w:val="00D73CD5"/>
    <w:rsid w:val="00D74F6A"/>
    <w:rsid w:val="00D77CFC"/>
    <w:rsid w:val="00D80BFA"/>
    <w:rsid w:val="00D8105E"/>
    <w:rsid w:val="00D818E0"/>
    <w:rsid w:val="00D819BE"/>
    <w:rsid w:val="00D81E30"/>
    <w:rsid w:val="00D8204C"/>
    <w:rsid w:val="00D82EF8"/>
    <w:rsid w:val="00D830F2"/>
    <w:rsid w:val="00D85565"/>
    <w:rsid w:val="00D87B0B"/>
    <w:rsid w:val="00D87CCD"/>
    <w:rsid w:val="00D90121"/>
    <w:rsid w:val="00D915BE"/>
    <w:rsid w:val="00D92BB3"/>
    <w:rsid w:val="00D94316"/>
    <w:rsid w:val="00D95EAB"/>
    <w:rsid w:val="00DA014D"/>
    <w:rsid w:val="00DA0CB9"/>
    <w:rsid w:val="00DA0E1E"/>
    <w:rsid w:val="00DA165F"/>
    <w:rsid w:val="00DA1759"/>
    <w:rsid w:val="00DA2264"/>
    <w:rsid w:val="00DA2368"/>
    <w:rsid w:val="00DA243D"/>
    <w:rsid w:val="00DA2959"/>
    <w:rsid w:val="00DA29EF"/>
    <w:rsid w:val="00DA2A5A"/>
    <w:rsid w:val="00DA6DBD"/>
    <w:rsid w:val="00DA6F29"/>
    <w:rsid w:val="00DB3BD6"/>
    <w:rsid w:val="00DB4037"/>
    <w:rsid w:val="00DB4F54"/>
    <w:rsid w:val="00DB58A3"/>
    <w:rsid w:val="00DB6004"/>
    <w:rsid w:val="00DB7D8E"/>
    <w:rsid w:val="00DB7E23"/>
    <w:rsid w:val="00DC087F"/>
    <w:rsid w:val="00DC1347"/>
    <w:rsid w:val="00DC13D8"/>
    <w:rsid w:val="00DC2664"/>
    <w:rsid w:val="00DC4185"/>
    <w:rsid w:val="00DC49D9"/>
    <w:rsid w:val="00DC77D2"/>
    <w:rsid w:val="00DC7D25"/>
    <w:rsid w:val="00DD058B"/>
    <w:rsid w:val="00DD1F2E"/>
    <w:rsid w:val="00DD4D4A"/>
    <w:rsid w:val="00DD5447"/>
    <w:rsid w:val="00DD6579"/>
    <w:rsid w:val="00DD69D3"/>
    <w:rsid w:val="00DE1AED"/>
    <w:rsid w:val="00DE1DBF"/>
    <w:rsid w:val="00DE23AE"/>
    <w:rsid w:val="00DE31ED"/>
    <w:rsid w:val="00DE5C79"/>
    <w:rsid w:val="00DF309D"/>
    <w:rsid w:val="00DF363F"/>
    <w:rsid w:val="00DF3EA8"/>
    <w:rsid w:val="00DF3FA5"/>
    <w:rsid w:val="00DF4310"/>
    <w:rsid w:val="00DF4592"/>
    <w:rsid w:val="00DF4827"/>
    <w:rsid w:val="00DF75D1"/>
    <w:rsid w:val="00DF79C0"/>
    <w:rsid w:val="00E0002E"/>
    <w:rsid w:val="00E00BF7"/>
    <w:rsid w:val="00E02E03"/>
    <w:rsid w:val="00E032A8"/>
    <w:rsid w:val="00E03A9D"/>
    <w:rsid w:val="00E04446"/>
    <w:rsid w:val="00E053EF"/>
    <w:rsid w:val="00E06700"/>
    <w:rsid w:val="00E07035"/>
    <w:rsid w:val="00E10C84"/>
    <w:rsid w:val="00E10DEB"/>
    <w:rsid w:val="00E12F7A"/>
    <w:rsid w:val="00E13162"/>
    <w:rsid w:val="00E145D6"/>
    <w:rsid w:val="00E1596E"/>
    <w:rsid w:val="00E15BD0"/>
    <w:rsid w:val="00E207A6"/>
    <w:rsid w:val="00E209EF"/>
    <w:rsid w:val="00E21C14"/>
    <w:rsid w:val="00E21C65"/>
    <w:rsid w:val="00E22020"/>
    <w:rsid w:val="00E22928"/>
    <w:rsid w:val="00E23B28"/>
    <w:rsid w:val="00E2742B"/>
    <w:rsid w:val="00E27F2F"/>
    <w:rsid w:val="00E31050"/>
    <w:rsid w:val="00E32806"/>
    <w:rsid w:val="00E33FF1"/>
    <w:rsid w:val="00E34140"/>
    <w:rsid w:val="00E344AE"/>
    <w:rsid w:val="00E34FF9"/>
    <w:rsid w:val="00E36B91"/>
    <w:rsid w:val="00E4023B"/>
    <w:rsid w:val="00E408EB"/>
    <w:rsid w:val="00E40C11"/>
    <w:rsid w:val="00E40D7C"/>
    <w:rsid w:val="00E40DA1"/>
    <w:rsid w:val="00E435AC"/>
    <w:rsid w:val="00E435B9"/>
    <w:rsid w:val="00E43BCA"/>
    <w:rsid w:val="00E44D5C"/>
    <w:rsid w:val="00E4630D"/>
    <w:rsid w:val="00E465FD"/>
    <w:rsid w:val="00E47CF6"/>
    <w:rsid w:val="00E52037"/>
    <w:rsid w:val="00E52B8A"/>
    <w:rsid w:val="00E53041"/>
    <w:rsid w:val="00E544E7"/>
    <w:rsid w:val="00E5495C"/>
    <w:rsid w:val="00E5674E"/>
    <w:rsid w:val="00E57CBD"/>
    <w:rsid w:val="00E57F94"/>
    <w:rsid w:val="00E6031B"/>
    <w:rsid w:val="00E60D0E"/>
    <w:rsid w:val="00E6324A"/>
    <w:rsid w:val="00E6423D"/>
    <w:rsid w:val="00E650E5"/>
    <w:rsid w:val="00E6648F"/>
    <w:rsid w:val="00E7004D"/>
    <w:rsid w:val="00E71303"/>
    <w:rsid w:val="00E71357"/>
    <w:rsid w:val="00E71D3F"/>
    <w:rsid w:val="00E71F3A"/>
    <w:rsid w:val="00E729C3"/>
    <w:rsid w:val="00E730C4"/>
    <w:rsid w:val="00E73562"/>
    <w:rsid w:val="00E73620"/>
    <w:rsid w:val="00E7389E"/>
    <w:rsid w:val="00E73A63"/>
    <w:rsid w:val="00E74B04"/>
    <w:rsid w:val="00E76165"/>
    <w:rsid w:val="00E762E3"/>
    <w:rsid w:val="00E77FC7"/>
    <w:rsid w:val="00E807F0"/>
    <w:rsid w:val="00E81E9A"/>
    <w:rsid w:val="00E83C14"/>
    <w:rsid w:val="00E84EFE"/>
    <w:rsid w:val="00E86053"/>
    <w:rsid w:val="00E8667A"/>
    <w:rsid w:val="00E90592"/>
    <w:rsid w:val="00E90AD1"/>
    <w:rsid w:val="00E90E3C"/>
    <w:rsid w:val="00E90E75"/>
    <w:rsid w:val="00E91D09"/>
    <w:rsid w:val="00E93EB1"/>
    <w:rsid w:val="00E941B7"/>
    <w:rsid w:val="00E95628"/>
    <w:rsid w:val="00E95953"/>
    <w:rsid w:val="00E96FCF"/>
    <w:rsid w:val="00E977D4"/>
    <w:rsid w:val="00E97ACB"/>
    <w:rsid w:val="00EA2B67"/>
    <w:rsid w:val="00EA4B65"/>
    <w:rsid w:val="00EA5CFB"/>
    <w:rsid w:val="00EA628A"/>
    <w:rsid w:val="00EA683F"/>
    <w:rsid w:val="00EA79AD"/>
    <w:rsid w:val="00EB06A8"/>
    <w:rsid w:val="00EB0DE3"/>
    <w:rsid w:val="00EB15F3"/>
    <w:rsid w:val="00EB1F12"/>
    <w:rsid w:val="00EB3238"/>
    <w:rsid w:val="00EB36C0"/>
    <w:rsid w:val="00EB3855"/>
    <w:rsid w:val="00EB3C19"/>
    <w:rsid w:val="00EB4FF3"/>
    <w:rsid w:val="00EB54D0"/>
    <w:rsid w:val="00EC0057"/>
    <w:rsid w:val="00EC2604"/>
    <w:rsid w:val="00EC3A25"/>
    <w:rsid w:val="00EC46FC"/>
    <w:rsid w:val="00EC54DA"/>
    <w:rsid w:val="00EC62C4"/>
    <w:rsid w:val="00EC678A"/>
    <w:rsid w:val="00EC6F1C"/>
    <w:rsid w:val="00EC754C"/>
    <w:rsid w:val="00ED016B"/>
    <w:rsid w:val="00ED0B7A"/>
    <w:rsid w:val="00ED0B8A"/>
    <w:rsid w:val="00ED1A89"/>
    <w:rsid w:val="00ED218A"/>
    <w:rsid w:val="00ED2743"/>
    <w:rsid w:val="00ED397A"/>
    <w:rsid w:val="00ED3A2D"/>
    <w:rsid w:val="00ED3B6F"/>
    <w:rsid w:val="00ED3D53"/>
    <w:rsid w:val="00ED62AC"/>
    <w:rsid w:val="00ED7047"/>
    <w:rsid w:val="00ED7AD2"/>
    <w:rsid w:val="00EE139C"/>
    <w:rsid w:val="00EE1A58"/>
    <w:rsid w:val="00EE1FDA"/>
    <w:rsid w:val="00EE3627"/>
    <w:rsid w:val="00EE45B1"/>
    <w:rsid w:val="00EE475D"/>
    <w:rsid w:val="00EE4F93"/>
    <w:rsid w:val="00EE5193"/>
    <w:rsid w:val="00EE572B"/>
    <w:rsid w:val="00EE59C3"/>
    <w:rsid w:val="00EE5A6B"/>
    <w:rsid w:val="00EE656E"/>
    <w:rsid w:val="00EF07F2"/>
    <w:rsid w:val="00EF0811"/>
    <w:rsid w:val="00EF1089"/>
    <w:rsid w:val="00EF1188"/>
    <w:rsid w:val="00EF1804"/>
    <w:rsid w:val="00EF1F81"/>
    <w:rsid w:val="00EF2159"/>
    <w:rsid w:val="00EF25D0"/>
    <w:rsid w:val="00EF2A8E"/>
    <w:rsid w:val="00EF2FD7"/>
    <w:rsid w:val="00EF39F6"/>
    <w:rsid w:val="00EF4625"/>
    <w:rsid w:val="00EF4FA6"/>
    <w:rsid w:val="00EF60D3"/>
    <w:rsid w:val="00EF67C4"/>
    <w:rsid w:val="00EF6AE3"/>
    <w:rsid w:val="00EF6E3C"/>
    <w:rsid w:val="00EF79DF"/>
    <w:rsid w:val="00F000AD"/>
    <w:rsid w:val="00F015AF"/>
    <w:rsid w:val="00F0182A"/>
    <w:rsid w:val="00F02287"/>
    <w:rsid w:val="00F02C31"/>
    <w:rsid w:val="00F02C51"/>
    <w:rsid w:val="00F03DF6"/>
    <w:rsid w:val="00F04318"/>
    <w:rsid w:val="00F04477"/>
    <w:rsid w:val="00F0524C"/>
    <w:rsid w:val="00F060CD"/>
    <w:rsid w:val="00F06512"/>
    <w:rsid w:val="00F07443"/>
    <w:rsid w:val="00F0798E"/>
    <w:rsid w:val="00F07E4F"/>
    <w:rsid w:val="00F11C01"/>
    <w:rsid w:val="00F1212F"/>
    <w:rsid w:val="00F135AB"/>
    <w:rsid w:val="00F13975"/>
    <w:rsid w:val="00F140D6"/>
    <w:rsid w:val="00F1539F"/>
    <w:rsid w:val="00F20253"/>
    <w:rsid w:val="00F20690"/>
    <w:rsid w:val="00F219AF"/>
    <w:rsid w:val="00F25662"/>
    <w:rsid w:val="00F27789"/>
    <w:rsid w:val="00F305AA"/>
    <w:rsid w:val="00F308A5"/>
    <w:rsid w:val="00F30E15"/>
    <w:rsid w:val="00F311C6"/>
    <w:rsid w:val="00F31E5D"/>
    <w:rsid w:val="00F32C2B"/>
    <w:rsid w:val="00F3344C"/>
    <w:rsid w:val="00F337BB"/>
    <w:rsid w:val="00F33AAC"/>
    <w:rsid w:val="00F3705A"/>
    <w:rsid w:val="00F3791C"/>
    <w:rsid w:val="00F37A58"/>
    <w:rsid w:val="00F37F19"/>
    <w:rsid w:val="00F41023"/>
    <w:rsid w:val="00F43709"/>
    <w:rsid w:val="00F43DD4"/>
    <w:rsid w:val="00F443E0"/>
    <w:rsid w:val="00F45466"/>
    <w:rsid w:val="00F46160"/>
    <w:rsid w:val="00F4700C"/>
    <w:rsid w:val="00F47B60"/>
    <w:rsid w:val="00F50868"/>
    <w:rsid w:val="00F516A8"/>
    <w:rsid w:val="00F51F98"/>
    <w:rsid w:val="00F523DD"/>
    <w:rsid w:val="00F5256D"/>
    <w:rsid w:val="00F52BE2"/>
    <w:rsid w:val="00F53EDF"/>
    <w:rsid w:val="00F544F2"/>
    <w:rsid w:val="00F54581"/>
    <w:rsid w:val="00F54884"/>
    <w:rsid w:val="00F54DE9"/>
    <w:rsid w:val="00F55001"/>
    <w:rsid w:val="00F56F57"/>
    <w:rsid w:val="00F573B8"/>
    <w:rsid w:val="00F57705"/>
    <w:rsid w:val="00F602C5"/>
    <w:rsid w:val="00F61F7C"/>
    <w:rsid w:val="00F62F4C"/>
    <w:rsid w:val="00F63038"/>
    <w:rsid w:val="00F635B6"/>
    <w:rsid w:val="00F65B87"/>
    <w:rsid w:val="00F66DF4"/>
    <w:rsid w:val="00F673DB"/>
    <w:rsid w:val="00F67C26"/>
    <w:rsid w:val="00F704C3"/>
    <w:rsid w:val="00F70B66"/>
    <w:rsid w:val="00F71FD2"/>
    <w:rsid w:val="00F7239E"/>
    <w:rsid w:val="00F727AA"/>
    <w:rsid w:val="00F72F2C"/>
    <w:rsid w:val="00F73E4E"/>
    <w:rsid w:val="00F74465"/>
    <w:rsid w:val="00F74E28"/>
    <w:rsid w:val="00F76B1A"/>
    <w:rsid w:val="00F76BEB"/>
    <w:rsid w:val="00F77001"/>
    <w:rsid w:val="00F80652"/>
    <w:rsid w:val="00F814BD"/>
    <w:rsid w:val="00F81A46"/>
    <w:rsid w:val="00F81AD5"/>
    <w:rsid w:val="00F82BDF"/>
    <w:rsid w:val="00F83C06"/>
    <w:rsid w:val="00F84D4B"/>
    <w:rsid w:val="00F84E10"/>
    <w:rsid w:val="00F9088F"/>
    <w:rsid w:val="00F917B1"/>
    <w:rsid w:val="00F91A86"/>
    <w:rsid w:val="00F92B69"/>
    <w:rsid w:val="00F92D66"/>
    <w:rsid w:val="00F936FD"/>
    <w:rsid w:val="00F95E8B"/>
    <w:rsid w:val="00F969CE"/>
    <w:rsid w:val="00F976A9"/>
    <w:rsid w:val="00F9791B"/>
    <w:rsid w:val="00F97D3C"/>
    <w:rsid w:val="00FA0B86"/>
    <w:rsid w:val="00FA1702"/>
    <w:rsid w:val="00FA1C35"/>
    <w:rsid w:val="00FA1DE7"/>
    <w:rsid w:val="00FA2C63"/>
    <w:rsid w:val="00FA350D"/>
    <w:rsid w:val="00FA457A"/>
    <w:rsid w:val="00FA4647"/>
    <w:rsid w:val="00FA5A32"/>
    <w:rsid w:val="00FA618F"/>
    <w:rsid w:val="00FA706B"/>
    <w:rsid w:val="00FB0154"/>
    <w:rsid w:val="00FB16DC"/>
    <w:rsid w:val="00FB2257"/>
    <w:rsid w:val="00FB273E"/>
    <w:rsid w:val="00FB2B71"/>
    <w:rsid w:val="00FB41C0"/>
    <w:rsid w:val="00FB5D12"/>
    <w:rsid w:val="00FB7A00"/>
    <w:rsid w:val="00FC05D7"/>
    <w:rsid w:val="00FC40F8"/>
    <w:rsid w:val="00FC45E5"/>
    <w:rsid w:val="00FC4CEE"/>
    <w:rsid w:val="00FC6591"/>
    <w:rsid w:val="00FD0C1D"/>
    <w:rsid w:val="00FD2144"/>
    <w:rsid w:val="00FD23B7"/>
    <w:rsid w:val="00FD2A60"/>
    <w:rsid w:val="00FD4BBE"/>
    <w:rsid w:val="00FD66B3"/>
    <w:rsid w:val="00FE0087"/>
    <w:rsid w:val="00FE14F2"/>
    <w:rsid w:val="00FE1546"/>
    <w:rsid w:val="00FE342C"/>
    <w:rsid w:val="00FE43B6"/>
    <w:rsid w:val="00FE441A"/>
    <w:rsid w:val="00FE4954"/>
    <w:rsid w:val="00FE51A2"/>
    <w:rsid w:val="00FE53A4"/>
    <w:rsid w:val="00FE5771"/>
    <w:rsid w:val="00FE5A6A"/>
    <w:rsid w:val="00FE6B9B"/>
    <w:rsid w:val="00FE75C6"/>
    <w:rsid w:val="00FF1A20"/>
    <w:rsid w:val="00FF2D41"/>
    <w:rsid w:val="00FF3471"/>
    <w:rsid w:val="00FF34EB"/>
    <w:rsid w:val="00FF4036"/>
    <w:rsid w:val="00FF4ED9"/>
    <w:rsid w:val="00FF6286"/>
    <w:rsid w:val="00FF65A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3312E"/>
  <w15:chartTrackingRefBased/>
  <w15:docId w15:val="{6A8819D8-FB0F-4C96-91E2-19ED2275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Humphreys"/>
    <w:qFormat/>
    <w:rsid w:val="00E10DEB"/>
    <w:rPr>
      <w:rFonts w:ascii="Myriad Pro" w:hAnsi="Myriad Pro"/>
      <w:color w:val="2E3B5D"/>
      <w:sz w:val="21"/>
    </w:rPr>
  </w:style>
  <w:style w:type="paragraph" w:styleId="Ttulo1">
    <w:name w:val="heading 1"/>
    <w:aliases w:val="Titulo Principal Informe Humphreys"/>
    <w:basedOn w:val="Normal"/>
    <w:next w:val="Normal"/>
    <w:link w:val="Ttulo1Car"/>
    <w:uiPriority w:val="9"/>
    <w:qFormat/>
    <w:rsid w:val="00E10DEB"/>
    <w:pPr>
      <w:keepNext/>
      <w:keepLines/>
      <w:spacing w:before="240" w:line="360" w:lineRule="auto"/>
      <w:outlineLvl w:val="0"/>
    </w:pPr>
    <w:rPr>
      <w:rFonts w:eastAsiaTheme="majorEastAsia" w:cstheme="majorBidi"/>
      <w:b/>
      <w:sz w:val="44"/>
      <w:szCs w:val="32"/>
    </w:rPr>
  </w:style>
  <w:style w:type="paragraph" w:styleId="Ttulo2">
    <w:name w:val="heading 2"/>
    <w:aliases w:val="Título Dentro del Informe Humphreys"/>
    <w:basedOn w:val="Normal"/>
    <w:next w:val="Normal"/>
    <w:link w:val="Ttulo2Car"/>
    <w:uiPriority w:val="9"/>
    <w:unhideWhenUsed/>
    <w:qFormat/>
    <w:rsid w:val="00E10DEB"/>
    <w:pPr>
      <w:keepNext/>
      <w:keepLines/>
      <w:spacing w:before="40" w:line="360" w:lineRule="auto"/>
      <w:jc w:val="center"/>
      <w:outlineLvl w:val="1"/>
    </w:pPr>
    <w:rPr>
      <w:rFonts w:ascii="Myriad Pro Light" w:eastAsiaTheme="majorEastAsia" w:hAnsi="Myriad Pro Light" w:cstheme="majorBidi"/>
      <w:b/>
      <w:sz w:val="32"/>
      <w:szCs w:val="26"/>
    </w:rPr>
  </w:style>
  <w:style w:type="paragraph" w:styleId="Ttulo3">
    <w:name w:val="heading 3"/>
    <w:aliases w:val="Pie de página Humphreys"/>
    <w:basedOn w:val="Normal"/>
    <w:next w:val="Normal"/>
    <w:link w:val="Ttulo3Car"/>
    <w:uiPriority w:val="9"/>
    <w:semiHidden/>
    <w:unhideWhenUsed/>
    <w:qFormat/>
    <w:rsid w:val="00CA17FC"/>
    <w:pPr>
      <w:keepNext/>
      <w:keepLines/>
      <w:tabs>
        <w:tab w:val="center" w:pos="4419"/>
        <w:tab w:val="right" w:pos="8838"/>
      </w:tabs>
      <w:spacing w:before="40"/>
      <w:outlineLvl w:val="2"/>
    </w:pPr>
    <w:rPr>
      <w:rFonts w:eastAsiaTheme="majorEastAsia" w:cstheme="majorBidi"/>
      <w:color w:val="FFFFFF" w:themeColor="background1"/>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aznReseaHumphreys">
    <w:name w:val="Razón Reseña Humphreys"/>
    <w:basedOn w:val="Ttulo"/>
    <w:qFormat/>
    <w:rsid w:val="00E10DEB"/>
  </w:style>
  <w:style w:type="paragraph" w:customStyle="1" w:styleId="AnalistasHumphreys">
    <w:name w:val="Analistas Humphreys"/>
    <w:basedOn w:val="Normal"/>
    <w:qFormat/>
    <w:rsid w:val="00143B2F"/>
    <w:rPr>
      <w:color w:val="FFFFFF" w:themeColor="background1"/>
      <w:lang w:val="es-ES"/>
    </w:rPr>
  </w:style>
  <w:style w:type="character" w:styleId="Nmerodepgina">
    <w:name w:val="page number"/>
    <w:basedOn w:val="Fuentedeprrafopredeter"/>
    <w:uiPriority w:val="99"/>
    <w:semiHidden/>
    <w:unhideWhenUsed/>
    <w:rsid w:val="00366E6F"/>
  </w:style>
  <w:style w:type="paragraph" w:styleId="Descripcin">
    <w:name w:val="caption"/>
    <w:aliases w:val="Descripción tabla Humphreys"/>
    <w:basedOn w:val="Normal"/>
    <w:next w:val="Normal"/>
    <w:unhideWhenUsed/>
    <w:qFormat/>
    <w:rsid w:val="00B33A29"/>
    <w:pPr>
      <w:spacing w:after="200"/>
      <w:jc w:val="center"/>
    </w:pPr>
    <w:rPr>
      <w:i/>
      <w:iCs/>
      <w:sz w:val="18"/>
      <w:szCs w:val="18"/>
    </w:rPr>
  </w:style>
  <w:style w:type="character" w:customStyle="1" w:styleId="Ttulo1Car">
    <w:name w:val="Título 1 Car"/>
    <w:aliases w:val="Titulo Principal Informe Humphreys Car"/>
    <w:basedOn w:val="Fuentedeprrafopredeter"/>
    <w:link w:val="Ttulo1"/>
    <w:uiPriority w:val="9"/>
    <w:rsid w:val="00E10DEB"/>
    <w:rPr>
      <w:rFonts w:ascii="Myriad Pro" w:eastAsiaTheme="majorEastAsia" w:hAnsi="Myriad Pro" w:cstheme="majorBidi"/>
      <w:b/>
      <w:color w:val="2E3B5D"/>
      <w:sz w:val="44"/>
      <w:szCs w:val="32"/>
    </w:rPr>
  </w:style>
  <w:style w:type="character" w:customStyle="1" w:styleId="Ttulo2Car">
    <w:name w:val="Título 2 Car"/>
    <w:aliases w:val="Título Dentro del Informe Humphreys Car"/>
    <w:basedOn w:val="Fuentedeprrafopredeter"/>
    <w:link w:val="Ttulo2"/>
    <w:uiPriority w:val="9"/>
    <w:rsid w:val="00E10DEB"/>
    <w:rPr>
      <w:rFonts w:ascii="Myriad Pro Light" w:eastAsiaTheme="majorEastAsia" w:hAnsi="Myriad Pro Light" w:cstheme="majorBidi"/>
      <w:b/>
      <w:color w:val="2E3B5D"/>
      <w:sz w:val="32"/>
      <w:szCs w:val="26"/>
    </w:rPr>
  </w:style>
  <w:style w:type="paragraph" w:styleId="Ttulo">
    <w:name w:val="Title"/>
    <w:aliases w:val="Sub Título dentro en informe Humphreys"/>
    <w:basedOn w:val="Normal"/>
    <w:next w:val="Normal"/>
    <w:link w:val="TtuloCar"/>
    <w:uiPriority w:val="10"/>
    <w:qFormat/>
    <w:rsid w:val="00E10DEB"/>
    <w:pPr>
      <w:spacing w:line="360" w:lineRule="auto"/>
      <w:contextualSpacing/>
    </w:pPr>
    <w:rPr>
      <w:rFonts w:ascii="Myriad Pro Light" w:eastAsiaTheme="majorEastAsia" w:hAnsi="Myriad Pro Light" w:cstheme="majorBidi"/>
      <w:b/>
      <w:spacing w:val="-10"/>
      <w:kern w:val="28"/>
      <w:sz w:val="28"/>
      <w:szCs w:val="56"/>
    </w:rPr>
  </w:style>
  <w:style w:type="character" w:customStyle="1" w:styleId="TtuloCar">
    <w:name w:val="Título Car"/>
    <w:aliases w:val="Sub Título dentro en informe Humphreys Car"/>
    <w:basedOn w:val="Fuentedeprrafopredeter"/>
    <w:link w:val="Ttulo"/>
    <w:uiPriority w:val="10"/>
    <w:rsid w:val="00E10DEB"/>
    <w:rPr>
      <w:rFonts w:ascii="Myriad Pro Light" w:eastAsiaTheme="majorEastAsia" w:hAnsi="Myriad Pro Light" w:cstheme="majorBidi"/>
      <w:b/>
      <w:color w:val="2E3B5D"/>
      <w:spacing w:val="-10"/>
      <w:kern w:val="28"/>
      <w:sz w:val="28"/>
      <w:szCs w:val="56"/>
    </w:rPr>
  </w:style>
  <w:style w:type="character" w:customStyle="1" w:styleId="Ttulo3Car">
    <w:name w:val="Título 3 Car"/>
    <w:aliases w:val="Pie de página Humphreys Car"/>
    <w:basedOn w:val="Fuentedeprrafopredeter"/>
    <w:link w:val="Ttulo3"/>
    <w:uiPriority w:val="9"/>
    <w:semiHidden/>
    <w:rsid w:val="00CA17FC"/>
    <w:rPr>
      <w:rFonts w:ascii="Myriad Pro" w:eastAsiaTheme="majorEastAsia" w:hAnsi="Myriad Pro" w:cstheme="majorBidi"/>
      <w:color w:val="FFFFFF" w:themeColor="background1"/>
      <w:sz w:val="20"/>
    </w:rPr>
  </w:style>
  <w:style w:type="paragraph" w:styleId="Encabezado">
    <w:name w:val="header"/>
    <w:aliases w:val="Titulos cuadros"/>
    <w:basedOn w:val="Normal"/>
    <w:link w:val="EncabezadoCar"/>
    <w:uiPriority w:val="99"/>
    <w:unhideWhenUsed/>
    <w:rsid w:val="0089028D"/>
    <w:pPr>
      <w:tabs>
        <w:tab w:val="center" w:pos="4419"/>
        <w:tab w:val="right" w:pos="8838"/>
      </w:tabs>
      <w:jc w:val="center"/>
    </w:pPr>
    <w:rPr>
      <w:sz w:val="18"/>
    </w:rPr>
  </w:style>
  <w:style w:type="character" w:customStyle="1" w:styleId="EncabezadoCar">
    <w:name w:val="Encabezado Car"/>
    <w:aliases w:val="Titulos cuadros Car"/>
    <w:basedOn w:val="Fuentedeprrafopredeter"/>
    <w:link w:val="Encabezado"/>
    <w:uiPriority w:val="99"/>
    <w:rsid w:val="0089028D"/>
    <w:rPr>
      <w:rFonts w:ascii="Myriad Pro" w:hAnsi="Myriad Pro"/>
      <w:color w:val="2E3B5D"/>
      <w:sz w:val="18"/>
    </w:rPr>
  </w:style>
  <w:style w:type="paragraph" w:styleId="Piedepgina">
    <w:name w:val="footer"/>
    <w:basedOn w:val="Normal"/>
    <w:link w:val="PiedepginaCar"/>
    <w:uiPriority w:val="99"/>
    <w:unhideWhenUsed/>
    <w:rsid w:val="00E941B7"/>
    <w:pPr>
      <w:tabs>
        <w:tab w:val="center" w:pos="4419"/>
        <w:tab w:val="right" w:pos="8838"/>
      </w:tabs>
    </w:pPr>
  </w:style>
  <w:style w:type="character" w:customStyle="1" w:styleId="PiedepginaCar">
    <w:name w:val="Pie de página Car"/>
    <w:basedOn w:val="Fuentedeprrafopredeter"/>
    <w:link w:val="Piedepgina"/>
    <w:uiPriority w:val="99"/>
    <w:rsid w:val="00E941B7"/>
    <w:rPr>
      <w:rFonts w:ascii="Myriad Pro" w:hAnsi="Myriad Pro"/>
      <w:color w:val="2E3B5D"/>
    </w:rPr>
  </w:style>
  <w:style w:type="character" w:styleId="Hipervnculo">
    <w:name w:val="Hyperlink"/>
    <w:basedOn w:val="Fuentedeprrafopredeter"/>
    <w:uiPriority w:val="99"/>
    <w:unhideWhenUsed/>
    <w:rsid w:val="00AC0DB7"/>
    <w:rPr>
      <w:color w:val="0563C1" w:themeColor="hyperlink"/>
      <w:u w:val="single"/>
    </w:rPr>
  </w:style>
  <w:style w:type="character" w:styleId="Mencinsinresolver">
    <w:name w:val="Unresolved Mention"/>
    <w:basedOn w:val="Fuentedeprrafopredeter"/>
    <w:uiPriority w:val="99"/>
    <w:semiHidden/>
    <w:unhideWhenUsed/>
    <w:rsid w:val="00AC0DB7"/>
    <w:rPr>
      <w:color w:val="605E5C"/>
      <w:shd w:val="clear" w:color="auto" w:fill="E1DFDD"/>
    </w:rPr>
  </w:style>
  <w:style w:type="paragraph" w:styleId="Textonotapie">
    <w:name w:val="footnote text"/>
    <w:basedOn w:val="Normal"/>
    <w:link w:val="TextonotapieCar"/>
    <w:rsid w:val="00E10DEB"/>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E10DEB"/>
    <w:rPr>
      <w:rFonts w:ascii="Times New Roman" w:eastAsia="Times New Roman" w:hAnsi="Times New Roman" w:cs="Times New Roman"/>
      <w:color w:val="2E3B5D"/>
      <w:sz w:val="20"/>
      <w:szCs w:val="20"/>
      <w:lang w:val="es-ES" w:eastAsia="es-ES"/>
    </w:rPr>
  </w:style>
  <w:style w:type="character" w:styleId="Refdenotaalpie">
    <w:name w:val="footnote reference"/>
    <w:rsid w:val="00F305AA"/>
    <w:rPr>
      <w:vertAlign w:val="superscript"/>
    </w:rPr>
  </w:style>
  <w:style w:type="table" w:styleId="Tablaconcuadrcula">
    <w:name w:val="Table Grid"/>
    <w:basedOn w:val="Tablanormal"/>
    <w:uiPriority w:val="39"/>
    <w:rsid w:val="005D3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0415"/>
    <w:pPr>
      <w:ind w:left="720"/>
      <w:contextualSpacing/>
    </w:pPr>
  </w:style>
  <w:style w:type="paragraph" w:styleId="Sangra3detindependiente">
    <w:name w:val="Body Text Indent 3"/>
    <w:basedOn w:val="Normal"/>
    <w:link w:val="Sangra3detindependienteCar"/>
    <w:rsid w:val="00667AA6"/>
    <w:pPr>
      <w:spacing w:after="120"/>
      <w:ind w:left="283"/>
    </w:pPr>
    <w:rPr>
      <w:rFonts w:ascii="Times New Roman" w:eastAsia="Times New Roman" w:hAnsi="Times New Roman" w:cs="Times New Roman"/>
      <w:color w:val="auto"/>
      <w:sz w:val="16"/>
      <w:szCs w:val="16"/>
      <w:lang w:val="es-ES" w:eastAsia="es-ES"/>
    </w:rPr>
  </w:style>
  <w:style w:type="character" w:customStyle="1" w:styleId="Sangra3detindependienteCar">
    <w:name w:val="Sangría 3 de t. independiente Car"/>
    <w:basedOn w:val="Fuentedeprrafopredeter"/>
    <w:link w:val="Sangra3detindependiente"/>
    <w:rsid w:val="00667AA6"/>
    <w:rPr>
      <w:rFonts w:ascii="Times New Roman" w:eastAsia="Times New Roman" w:hAnsi="Times New Roman" w:cs="Times New Roman"/>
      <w:sz w:val="16"/>
      <w:szCs w:val="16"/>
      <w:lang w:val="es-ES" w:eastAsia="es-ES"/>
    </w:rPr>
  </w:style>
  <w:style w:type="paragraph" w:styleId="Textoindependiente3">
    <w:name w:val="Body Text 3"/>
    <w:basedOn w:val="Normal"/>
    <w:link w:val="Textoindependiente3Car"/>
    <w:uiPriority w:val="99"/>
    <w:unhideWhenUsed/>
    <w:rsid w:val="002C36C9"/>
    <w:pPr>
      <w:spacing w:after="120"/>
    </w:pPr>
    <w:rPr>
      <w:sz w:val="16"/>
      <w:szCs w:val="16"/>
    </w:rPr>
  </w:style>
  <w:style w:type="character" w:customStyle="1" w:styleId="Textoindependiente3Car">
    <w:name w:val="Texto independiente 3 Car"/>
    <w:basedOn w:val="Fuentedeprrafopredeter"/>
    <w:link w:val="Textoindependiente3"/>
    <w:uiPriority w:val="99"/>
    <w:rsid w:val="002C36C9"/>
    <w:rPr>
      <w:rFonts w:ascii="Myriad Pro" w:hAnsi="Myriad Pro"/>
      <w:color w:val="2E3B5D"/>
      <w:sz w:val="16"/>
      <w:szCs w:val="16"/>
    </w:rPr>
  </w:style>
  <w:style w:type="paragraph" w:customStyle="1" w:styleId="Default">
    <w:name w:val="Default"/>
    <w:rsid w:val="00941B51"/>
    <w:pPr>
      <w:autoSpaceDE w:val="0"/>
      <w:autoSpaceDN w:val="0"/>
      <w:adjustRightInd w:val="0"/>
    </w:pPr>
    <w:rPr>
      <w:rFonts w:ascii="Verdana" w:eastAsia="Times New Roman" w:hAnsi="Verdana" w:cs="Verdana"/>
      <w:color w:val="000000"/>
      <w:lang w:val="es-ES" w:eastAsia="es-ES"/>
    </w:rPr>
  </w:style>
  <w:style w:type="paragraph" w:styleId="Sangradetextonormal">
    <w:name w:val="Body Text Indent"/>
    <w:basedOn w:val="Normal"/>
    <w:link w:val="SangradetextonormalCar"/>
    <w:rsid w:val="00996201"/>
    <w:pPr>
      <w:spacing w:after="120"/>
      <w:ind w:left="283"/>
    </w:pPr>
    <w:rPr>
      <w:rFonts w:ascii="Times New Roman" w:eastAsia="Times New Roman" w:hAnsi="Times New Roman" w:cs="Times New Roman"/>
      <w:color w:val="auto"/>
      <w:sz w:val="24"/>
      <w:lang w:val="es-ES" w:eastAsia="es-ES"/>
    </w:rPr>
  </w:style>
  <w:style w:type="character" w:customStyle="1" w:styleId="SangradetextonormalCar">
    <w:name w:val="Sangría de texto normal Car"/>
    <w:basedOn w:val="Fuentedeprrafopredeter"/>
    <w:link w:val="Sangradetextonormal"/>
    <w:rsid w:val="00996201"/>
    <w:rPr>
      <w:rFonts w:ascii="Times New Roman" w:eastAsia="Times New Roman" w:hAnsi="Times New Roman" w:cs="Times New Roman"/>
      <w:lang w:val="es-ES" w:eastAsia="es-ES"/>
    </w:rPr>
  </w:style>
  <w:style w:type="paragraph" w:styleId="NormalWeb">
    <w:name w:val="Normal (Web)"/>
    <w:basedOn w:val="Normal"/>
    <w:uiPriority w:val="99"/>
    <w:semiHidden/>
    <w:unhideWhenUsed/>
    <w:rsid w:val="00091286"/>
    <w:pPr>
      <w:spacing w:before="100" w:beforeAutospacing="1" w:after="100" w:afterAutospacing="1"/>
    </w:pPr>
    <w:rPr>
      <w:rFonts w:ascii="Times New Roman" w:eastAsia="Times New Roman" w:hAnsi="Times New Roman" w:cs="Times New Roman"/>
      <w:color w:val="auto"/>
      <w:sz w:val="24"/>
      <w:lang w:eastAsia="es-ES_tradnl"/>
    </w:rPr>
  </w:style>
  <w:style w:type="paragraph" w:styleId="Revisin">
    <w:name w:val="Revision"/>
    <w:hidden/>
    <w:uiPriority w:val="99"/>
    <w:semiHidden/>
    <w:rsid w:val="00C11147"/>
    <w:rPr>
      <w:rFonts w:ascii="Myriad Pro" w:hAnsi="Myriad Pro"/>
      <w:color w:val="2E3B5D"/>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95">
      <w:bodyDiv w:val="1"/>
      <w:marLeft w:val="0"/>
      <w:marRight w:val="0"/>
      <w:marTop w:val="0"/>
      <w:marBottom w:val="0"/>
      <w:divBdr>
        <w:top w:val="none" w:sz="0" w:space="0" w:color="auto"/>
        <w:left w:val="none" w:sz="0" w:space="0" w:color="auto"/>
        <w:bottom w:val="none" w:sz="0" w:space="0" w:color="auto"/>
        <w:right w:val="none" w:sz="0" w:space="0" w:color="auto"/>
      </w:divBdr>
    </w:div>
    <w:div w:id="41057600">
      <w:bodyDiv w:val="1"/>
      <w:marLeft w:val="0"/>
      <w:marRight w:val="0"/>
      <w:marTop w:val="0"/>
      <w:marBottom w:val="0"/>
      <w:divBdr>
        <w:top w:val="none" w:sz="0" w:space="0" w:color="auto"/>
        <w:left w:val="none" w:sz="0" w:space="0" w:color="auto"/>
        <w:bottom w:val="none" w:sz="0" w:space="0" w:color="auto"/>
        <w:right w:val="none" w:sz="0" w:space="0" w:color="auto"/>
      </w:divBdr>
    </w:div>
    <w:div w:id="72053290">
      <w:bodyDiv w:val="1"/>
      <w:marLeft w:val="0"/>
      <w:marRight w:val="0"/>
      <w:marTop w:val="0"/>
      <w:marBottom w:val="0"/>
      <w:divBdr>
        <w:top w:val="none" w:sz="0" w:space="0" w:color="auto"/>
        <w:left w:val="none" w:sz="0" w:space="0" w:color="auto"/>
        <w:bottom w:val="none" w:sz="0" w:space="0" w:color="auto"/>
        <w:right w:val="none" w:sz="0" w:space="0" w:color="auto"/>
      </w:divBdr>
    </w:div>
    <w:div w:id="122038055">
      <w:bodyDiv w:val="1"/>
      <w:marLeft w:val="0"/>
      <w:marRight w:val="0"/>
      <w:marTop w:val="0"/>
      <w:marBottom w:val="0"/>
      <w:divBdr>
        <w:top w:val="none" w:sz="0" w:space="0" w:color="auto"/>
        <w:left w:val="none" w:sz="0" w:space="0" w:color="auto"/>
        <w:bottom w:val="none" w:sz="0" w:space="0" w:color="auto"/>
        <w:right w:val="none" w:sz="0" w:space="0" w:color="auto"/>
      </w:divBdr>
    </w:div>
    <w:div w:id="149949246">
      <w:bodyDiv w:val="1"/>
      <w:marLeft w:val="0"/>
      <w:marRight w:val="0"/>
      <w:marTop w:val="0"/>
      <w:marBottom w:val="0"/>
      <w:divBdr>
        <w:top w:val="none" w:sz="0" w:space="0" w:color="auto"/>
        <w:left w:val="none" w:sz="0" w:space="0" w:color="auto"/>
        <w:bottom w:val="none" w:sz="0" w:space="0" w:color="auto"/>
        <w:right w:val="none" w:sz="0" w:space="0" w:color="auto"/>
      </w:divBdr>
    </w:div>
    <w:div w:id="152377089">
      <w:bodyDiv w:val="1"/>
      <w:marLeft w:val="0"/>
      <w:marRight w:val="0"/>
      <w:marTop w:val="0"/>
      <w:marBottom w:val="0"/>
      <w:divBdr>
        <w:top w:val="none" w:sz="0" w:space="0" w:color="auto"/>
        <w:left w:val="none" w:sz="0" w:space="0" w:color="auto"/>
        <w:bottom w:val="none" w:sz="0" w:space="0" w:color="auto"/>
        <w:right w:val="none" w:sz="0" w:space="0" w:color="auto"/>
      </w:divBdr>
    </w:div>
    <w:div w:id="161244983">
      <w:bodyDiv w:val="1"/>
      <w:marLeft w:val="0"/>
      <w:marRight w:val="0"/>
      <w:marTop w:val="0"/>
      <w:marBottom w:val="0"/>
      <w:divBdr>
        <w:top w:val="none" w:sz="0" w:space="0" w:color="auto"/>
        <w:left w:val="none" w:sz="0" w:space="0" w:color="auto"/>
        <w:bottom w:val="none" w:sz="0" w:space="0" w:color="auto"/>
        <w:right w:val="none" w:sz="0" w:space="0" w:color="auto"/>
      </w:divBdr>
    </w:div>
    <w:div w:id="209536197">
      <w:bodyDiv w:val="1"/>
      <w:marLeft w:val="0"/>
      <w:marRight w:val="0"/>
      <w:marTop w:val="0"/>
      <w:marBottom w:val="0"/>
      <w:divBdr>
        <w:top w:val="none" w:sz="0" w:space="0" w:color="auto"/>
        <w:left w:val="none" w:sz="0" w:space="0" w:color="auto"/>
        <w:bottom w:val="none" w:sz="0" w:space="0" w:color="auto"/>
        <w:right w:val="none" w:sz="0" w:space="0" w:color="auto"/>
      </w:divBdr>
    </w:div>
    <w:div w:id="225726289">
      <w:bodyDiv w:val="1"/>
      <w:marLeft w:val="0"/>
      <w:marRight w:val="0"/>
      <w:marTop w:val="0"/>
      <w:marBottom w:val="0"/>
      <w:divBdr>
        <w:top w:val="none" w:sz="0" w:space="0" w:color="auto"/>
        <w:left w:val="none" w:sz="0" w:space="0" w:color="auto"/>
        <w:bottom w:val="none" w:sz="0" w:space="0" w:color="auto"/>
        <w:right w:val="none" w:sz="0" w:space="0" w:color="auto"/>
      </w:divBdr>
    </w:div>
    <w:div w:id="241723874">
      <w:bodyDiv w:val="1"/>
      <w:marLeft w:val="0"/>
      <w:marRight w:val="0"/>
      <w:marTop w:val="0"/>
      <w:marBottom w:val="0"/>
      <w:divBdr>
        <w:top w:val="none" w:sz="0" w:space="0" w:color="auto"/>
        <w:left w:val="none" w:sz="0" w:space="0" w:color="auto"/>
        <w:bottom w:val="none" w:sz="0" w:space="0" w:color="auto"/>
        <w:right w:val="none" w:sz="0" w:space="0" w:color="auto"/>
      </w:divBdr>
    </w:div>
    <w:div w:id="243220582">
      <w:bodyDiv w:val="1"/>
      <w:marLeft w:val="0"/>
      <w:marRight w:val="0"/>
      <w:marTop w:val="0"/>
      <w:marBottom w:val="0"/>
      <w:divBdr>
        <w:top w:val="none" w:sz="0" w:space="0" w:color="auto"/>
        <w:left w:val="none" w:sz="0" w:space="0" w:color="auto"/>
        <w:bottom w:val="none" w:sz="0" w:space="0" w:color="auto"/>
        <w:right w:val="none" w:sz="0" w:space="0" w:color="auto"/>
      </w:divBdr>
    </w:div>
    <w:div w:id="247469917">
      <w:bodyDiv w:val="1"/>
      <w:marLeft w:val="0"/>
      <w:marRight w:val="0"/>
      <w:marTop w:val="0"/>
      <w:marBottom w:val="0"/>
      <w:divBdr>
        <w:top w:val="none" w:sz="0" w:space="0" w:color="auto"/>
        <w:left w:val="none" w:sz="0" w:space="0" w:color="auto"/>
        <w:bottom w:val="none" w:sz="0" w:space="0" w:color="auto"/>
        <w:right w:val="none" w:sz="0" w:space="0" w:color="auto"/>
      </w:divBdr>
    </w:div>
    <w:div w:id="277029795">
      <w:bodyDiv w:val="1"/>
      <w:marLeft w:val="0"/>
      <w:marRight w:val="0"/>
      <w:marTop w:val="0"/>
      <w:marBottom w:val="0"/>
      <w:divBdr>
        <w:top w:val="none" w:sz="0" w:space="0" w:color="auto"/>
        <w:left w:val="none" w:sz="0" w:space="0" w:color="auto"/>
        <w:bottom w:val="none" w:sz="0" w:space="0" w:color="auto"/>
        <w:right w:val="none" w:sz="0" w:space="0" w:color="auto"/>
      </w:divBdr>
    </w:div>
    <w:div w:id="285547619">
      <w:bodyDiv w:val="1"/>
      <w:marLeft w:val="0"/>
      <w:marRight w:val="0"/>
      <w:marTop w:val="0"/>
      <w:marBottom w:val="0"/>
      <w:divBdr>
        <w:top w:val="none" w:sz="0" w:space="0" w:color="auto"/>
        <w:left w:val="none" w:sz="0" w:space="0" w:color="auto"/>
        <w:bottom w:val="none" w:sz="0" w:space="0" w:color="auto"/>
        <w:right w:val="none" w:sz="0" w:space="0" w:color="auto"/>
      </w:divBdr>
    </w:div>
    <w:div w:id="294798511">
      <w:bodyDiv w:val="1"/>
      <w:marLeft w:val="0"/>
      <w:marRight w:val="0"/>
      <w:marTop w:val="0"/>
      <w:marBottom w:val="0"/>
      <w:divBdr>
        <w:top w:val="none" w:sz="0" w:space="0" w:color="auto"/>
        <w:left w:val="none" w:sz="0" w:space="0" w:color="auto"/>
        <w:bottom w:val="none" w:sz="0" w:space="0" w:color="auto"/>
        <w:right w:val="none" w:sz="0" w:space="0" w:color="auto"/>
      </w:divBdr>
    </w:div>
    <w:div w:id="304092214">
      <w:bodyDiv w:val="1"/>
      <w:marLeft w:val="0"/>
      <w:marRight w:val="0"/>
      <w:marTop w:val="0"/>
      <w:marBottom w:val="0"/>
      <w:divBdr>
        <w:top w:val="none" w:sz="0" w:space="0" w:color="auto"/>
        <w:left w:val="none" w:sz="0" w:space="0" w:color="auto"/>
        <w:bottom w:val="none" w:sz="0" w:space="0" w:color="auto"/>
        <w:right w:val="none" w:sz="0" w:space="0" w:color="auto"/>
      </w:divBdr>
    </w:div>
    <w:div w:id="352147626">
      <w:bodyDiv w:val="1"/>
      <w:marLeft w:val="0"/>
      <w:marRight w:val="0"/>
      <w:marTop w:val="0"/>
      <w:marBottom w:val="0"/>
      <w:divBdr>
        <w:top w:val="none" w:sz="0" w:space="0" w:color="auto"/>
        <w:left w:val="none" w:sz="0" w:space="0" w:color="auto"/>
        <w:bottom w:val="none" w:sz="0" w:space="0" w:color="auto"/>
        <w:right w:val="none" w:sz="0" w:space="0" w:color="auto"/>
      </w:divBdr>
    </w:div>
    <w:div w:id="367724614">
      <w:bodyDiv w:val="1"/>
      <w:marLeft w:val="0"/>
      <w:marRight w:val="0"/>
      <w:marTop w:val="0"/>
      <w:marBottom w:val="0"/>
      <w:divBdr>
        <w:top w:val="none" w:sz="0" w:space="0" w:color="auto"/>
        <w:left w:val="none" w:sz="0" w:space="0" w:color="auto"/>
        <w:bottom w:val="none" w:sz="0" w:space="0" w:color="auto"/>
        <w:right w:val="none" w:sz="0" w:space="0" w:color="auto"/>
      </w:divBdr>
    </w:div>
    <w:div w:id="370765303">
      <w:bodyDiv w:val="1"/>
      <w:marLeft w:val="0"/>
      <w:marRight w:val="0"/>
      <w:marTop w:val="0"/>
      <w:marBottom w:val="0"/>
      <w:divBdr>
        <w:top w:val="none" w:sz="0" w:space="0" w:color="auto"/>
        <w:left w:val="none" w:sz="0" w:space="0" w:color="auto"/>
        <w:bottom w:val="none" w:sz="0" w:space="0" w:color="auto"/>
        <w:right w:val="none" w:sz="0" w:space="0" w:color="auto"/>
      </w:divBdr>
    </w:div>
    <w:div w:id="403720106">
      <w:bodyDiv w:val="1"/>
      <w:marLeft w:val="0"/>
      <w:marRight w:val="0"/>
      <w:marTop w:val="0"/>
      <w:marBottom w:val="0"/>
      <w:divBdr>
        <w:top w:val="none" w:sz="0" w:space="0" w:color="auto"/>
        <w:left w:val="none" w:sz="0" w:space="0" w:color="auto"/>
        <w:bottom w:val="none" w:sz="0" w:space="0" w:color="auto"/>
        <w:right w:val="none" w:sz="0" w:space="0" w:color="auto"/>
      </w:divBdr>
    </w:div>
    <w:div w:id="436876780">
      <w:bodyDiv w:val="1"/>
      <w:marLeft w:val="0"/>
      <w:marRight w:val="0"/>
      <w:marTop w:val="0"/>
      <w:marBottom w:val="0"/>
      <w:divBdr>
        <w:top w:val="none" w:sz="0" w:space="0" w:color="auto"/>
        <w:left w:val="none" w:sz="0" w:space="0" w:color="auto"/>
        <w:bottom w:val="none" w:sz="0" w:space="0" w:color="auto"/>
        <w:right w:val="none" w:sz="0" w:space="0" w:color="auto"/>
      </w:divBdr>
    </w:div>
    <w:div w:id="471603203">
      <w:bodyDiv w:val="1"/>
      <w:marLeft w:val="0"/>
      <w:marRight w:val="0"/>
      <w:marTop w:val="0"/>
      <w:marBottom w:val="0"/>
      <w:divBdr>
        <w:top w:val="none" w:sz="0" w:space="0" w:color="auto"/>
        <w:left w:val="none" w:sz="0" w:space="0" w:color="auto"/>
        <w:bottom w:val="none" w:sz="0" w:space="0" w:color="auto"/>
        <w:right w:val="none" w:sz="0" w:space="0" w:color="auto"/>
      </w:divBdr>
    </w:div>
    <w:div w:id="493299000">
      <w:bodyDiv w:val="1"/>
      <w:marLeft w:val="0"/>
      <w:marRight w:val="0"/>
      <w:marTop w:val="0"/>
      <w:marBottom w:val="0"/>
      <w:divBdr>
        <w:top w:val="none" w:sz="0" w:space="0" w:color="auto"/>
        <w:left w:val="none" w:sz="0" w:space="0" w:color="auto"/>
        <w:bottom w:val="none" w:sz="0" w:space="0" w:color="auto"/>
        <w:right w:val="none" w:sz="0" w:space="0" w:color="auto"/>
      </w:divBdr>
    </w:div>
    <w:div w:id="503590984">
      <w:bodyDiv w:val="1"/>
      <w:marLeft w:val="0"/>
      <w:marRight w:val="0"/>
      <w:marTop w:val="0"/>
      <w:marBottom w:val="0"/>
      <w:divBdr>
        <w:top w:val="none" w:sz="0" w:space="0" w:color="auto"/>
        <w:left w:val="none" w:sz="0" w:space="0" w:color="auto"/>
        <w:bottom w:val="none" w:sz="0" w:space="0" w:color="auto"/>
        <w:right w:val="none" w:sz="0" w:space="0" w:color="auto"/>
      </w:divBdr>
    </w:div>
    <w:div w:id="523246144">
      <w:bodyDiv w:val="1"/>
      <w:marLeft w:val="0"/>
      <w:marRight w:val="0"/>
      <w:marTop w:val="0"/>
      <w:marBottom w:val="0"/>
      <w:divBdr>
        <w:top w:val="none" w:sz="0" w:space="0" w:color="auto"/>
        <w:left w:val="none" w:sz="0" w:space="0" w:color="auto"/>
        <w:bottom w:val="none" w:sz="0" w:space="0" w:color="auto"/>
        <w:right w:val="none" w:sz="0" w:space="0" w:color="auto"/>
      </w:divBdr>
    </w:div>
    <w:div w:id="534344647">
      <w:bodyDiv w:val="1"/>
      <w:marLeft w:val="0"/>
      <w:marRight w:val="0"/>
      <w:marTop w:val="0"/>
      <w:marBottom w:val="0"/>
      <w:divBdr>
        <w:top w:val="none" w:sz="0" w:space="0" w:color="auto"/>
        <w:left w:val="none" w:sz="0" w:space="0" w:color="auto"/>
        <w:bottom w:val="none" w:sz="0" w:space="0" w:color="auto"/>
        <w:right w:val="none" w:sz="0" w:space="0" w:color="auto"/>
      </w:divBdr>
    </w:div>
    <w:div w:id="537622820">
      <w:bodyDiv w:val="1"/>
      <w:marLeft w:val="0"/>
      <w:marRight w:val="0"/>
      <w:marTop w:val="0"/>
      <w:marBottom w:val="0"/>
      <w:divBdr>
        <w:top w:val="none" w:sz="0" w:space="0" w:color="auto"/>
        <w:left w:val="none" w:sz="0" w:space="0" w:color="auto"/>
        <w:bottom w:val="none" w:sz="0" w:space="0" w:color="auto"/>
        <w:right w:val="none" w:sz="0" w:space="0" w:color="auto"/>
      </w:divBdr>
    </w:div>
    <w:div w:id="547881571">
      <w:bodyDiv w:val="1"/>
      <w:marLeft w:val="0"/>
      <w:marRight w:val="0"/>
      <w:marTop w:val="0"/>
      <w:marBottom w:val="0"/>
      <w:divBdr>
        <w:top w:val="none" w:sz="0" w:space="0" w:color="auto"/>
        <w:left w:val="none" w:sz="0" w:space="0" w:color="auto"/>
        <w:bottom w:val="none" w:sz="0" w:space="0" w:color="auto"/>
        <w:right w:val="none" w:sz="0" w:space="0" w:color="auto"/>
      </w:divBdr>
    </w:div>
    <w:div w:id="562526246">
      <w:bodyDiv w:val="1"/>
      <w:marLeft w:val="0"/>
      <w:marRight w:val="0"/>
      <w:marTop w:val="0"/>
      <w:marBottom w:val="0"/>
      <w:divBdr>
        <w:top w:val="none" w:sz="0" w:space="0" w:color="auto"/>
        <w:left w:val="none" w:sz="0" w:space="0" w:color="auto"/>
        <w:bottom w:val="none" w:sz="0" w:space="0" w:color="auto"/>
        <w:right w:val="none" w:sz="0" w:space="0" w:color="auto"/>
      </w:divBdr>
    </w:div>
    <w:div w:id="569384014">
      <w:bodyDiv w:val="1"/>
      <w:marLeft w:val="0"/>
      <w:marRight w:val="0"/>
      <w:marTop w:val="0"/>
      <w:marBottom w:val="0"/>
      <w:divBdr>
        <w:top w:val="none" w:sz="0" w:space="0" w:color="auto"/>
        <w:left w:val="none" w:sz="0" w:space="0" w:color="auto"/>
        <w:bottom w:val="none" w:sz="0" w:space="0" w:color="auto"/>
        <w:right w:val="none" w:sz="0" w:space="0" w:color="auto"/>
      </w:divBdr>
    </w:div>
    <w:div w:id="578290405">
      <w:bodyDiv w:val="1"/>
      <w:marLeft w:val="0"/>
      <w:marRight w:val="0"/>
      <w:marTop w:val="0"/>
      <w:marBottom w:val="0"/>
      <w:divBdr>
        <w:top w:val="none" w:sz="0" w:space="0" w:color="auto"/>
        <w:left w:val="none" w:sz="0" w:space="0" w:color="auto"/>
        <w:bottom w:val="none" w:sz="0" w:space="0" w:color="auto"/>
        <w:right w:val="none" w:sz="0" w:space="0" w:color="auto"/>
      </w:divBdr>
    </w:div>
    <w:div w:id="589318431">
      <w:bodyDiv w:val="1"/>
      <w:marLeft w:val="0"/>
      <w:marRight w:val="0"/>
      <w:marTop w:val="0"/>
      <w:marBottom w:val="0"/>
      <w:divBdr>
        <w:top w:val="none" w:sz="0" w:space="0" w:color="auto"/>
        <w:left w:val="none" w:sz="0" w:space="0" w:color="auto"/>
        <w:bottom w:val="none" w:sz="0" w:space="0" w:color="auto"/>
        <w:right w:val="none" w:sz="0" w:space="0" w:color="auto"/>
      </w:divBdr>
    </w:div>
    <w:div w:id="593826303">
      <w:bodyDiv w:val="1"/>
      <w:marLeft w:val="0"/>
      <w:marRight w:val="0"/>
      <w:marTop w:val="0"/>
      <w:marBottom w:val="0"/>
      <w:divBdr>
        <w:top w:val="none" w:sz="0" w:space="0" w:color="auto"/>
        <w:left w:val="none" w:sz="0" w:space="0" w:color="auto"/>
        <w:bottom w:val="none" w:sz="0" w:space="0" w:color="auto"/>
        <w:right w:val="none" w:sz="0" w:space="0" w:color="auto"/>
      </w:divBdr>
    </w:div>
    <w:div w:id="634019537">
      <w:bodyDiv w:val="1"/>
      <w:marLeft w:val="0"/>
      <w:marRight w:val="0"/>
      <w:marTop w:val="0"/>
      <w:marBottom w:val="0"/>
      <w:divBdr>
        <w:top w:val="none" w:sz="0" w:space="0" w:color="auto"/>
        <w:left w:val="none" w:sz="0" w:space="0" w:color="auto"/>
        <w:bottom w:val="none" w:sz="0" w:space="0" w:color="auto"/>
        <w:right w:val="none" w:sz="0" w:space="0" w:color="auto"/>
      </w:divBdr>
    </w:div>
    <w:div w:id="639918554">
      <w:bodyDiv w:val="1"/>
      <w:marLeft w:val="0"/>
      <w:marRight w:val="0"/>
      <w:marTop w:val="0"/>
      <w:marBottom w:val="0"/>
      <w:divBdr>
        <w:top w:val="none" w:sz="0" w:space="0" w:color="auto"/>
        <w:left w:val="none" w:sz="0" w:space="0" w:color="auto"/>
        <w:bottom w:val="none" w:sz="0" w:space="0" w:color="auto"/>
        <w:right w:val="none" w:sz="0" w:space="0" w:color="auto"/>
      </w:divBdr>
    </w:div>
    <w:div w:id="646322790">
      <w:bodyDiv w:val="1"/>
      <w:marLeft w:val="0"/>
      <w:marRight w:val="0"/>
      <w:marTop w:val="0"/>
      <w:marBottom w:val="0"/>
      <w:divBdr>
        <w:top w:val="none" w:sz="0" w:space="0" w:color="auto"/>
        <w:left w:val="none" w:sz="0" w:space="0" w:color="auto"/>
        <w:bottom w:val="none" w:sz="0" w:space="0" w:color="auto"/>
        <w:right w:val="none" w:sz="0" w:space="0" w:color="auto"/>
      </w:divBdr>
    </w:div>
    <w:div w:id="652224143">
      <w:bodyDiv w:val="1"/>
      <w:marLeft w:val="0"/>
      <w:marRight w:val="0"/>
      <w:marTop w:val="0"/>
      <w:marBottom w:val="0"/>
      <w:divBdr>
        <w:top w:val="none" w:sz="0" w:space="0" w:color="auto"/>
        <w:left w:val="none" w:sz="0" w:space="0" w:color="auto"/>
        <w:bottom w:val="none" w:sz="0" w:space="0" w:color="auto"/>
        <w:right w:val="none" w:sz="0" w:space="0" w:color="auto"/>
      </w:divBdr>
    </w:div>
    <w:div w:id="652565511">
      <w:bodyDiv w:val="1"/>
      <w:marLeft w:val="0"/>
      <w:marRight w:val="0"/>
      <w:marTop w:val="0"/>
      <w:marBottom w:val="0"/>
      <w:divBdr>
        <w:top w:val="none" w:sz="0" w:space="0" w:color="auto"/>
        <w:left w:val="none" w:sz="0" w:space="0" w:color="auto"/>
        <w:bottom w:val="none" w:sz="0" w:space="0" w:color="auto"/>
        <w:right w:val="none" w:sz="0" w:space="0" w:color="auto"/>
      </w:divBdr>
    </w:div>
    <w:div w:id="664359166">
      <w:bodyDiv w:val="1"/>
      <w:marLeft w:val="0"/>
      <w:marRight w:val="0"/>
      <w:marTop w:val="0"/>
      <w:marBottom w:val="0"/>
      <w:divBdr>
        <w:top w:val="none" w:sz="0" w:space="0" w:color="auto"/>
        <w:left w:val="none" w:sz="0" w:space="0" w:color="auto"/>
        <w:bottom w:val="none" w:sz="0" w:space="0" w:color="auto"/>
        <w:right w:val="none" w:sz="0" w:space="0" w:color="auto"/>
      </w:divBdr>
    </w:div>
    <w:div w:id="669916117">
      <w:bodyDiv w:val="1"/>
      <w:marLeft w:val="0"/>
      <w:marRight w:val="0"/>
      <w:marTop w:val="0"/>
      <w:marBottom w:val="0"/>
      <w:divBdr>
        <w:top w:val="none" w:sz="0" w:space="0" w:color="auto"/>
        <w:left w:val="none" w:sz="0" w:space="0" w:color="auto"/>
        <w:bottom w:val="none" w:sz="0" w:space="0" w:color="auto"/>
        <w:right w:val="none" w:sz="0" w:space="0" w:color="auto"/>
      </w:divBdr>
    </w:div>
    <w:div w:id="672613748">
      <w:bodyDiv w:val="1"/>
      <w:marLeft w:val="0"/>
      <w:marRight w:val="0"/>
      <w:marTop w:val="0"/>
      <w:marBottom w:val="0"/>
      <w:divBdr>
        <w:top w:val="none" w:sz="0" w:space="0" w:color="auto"/>
        <w:left w:val="none" w:sz="0" w:space="0" w:color="auto"/>
        <w:bottom w:val="none" w:sz="0" w:space="0" w:color="auto"/>
        <w:right w:val="none" w:sz="0" w:space="0" w:color="auto"/>
      </w:divBdr>
      <w:divsChild>
        <w:div w:id="331034795">
          <w:marLeft w:val="562"/>
          <w:marRight w:val="0"/>
          <w:marTop w:val="100"/>
          <w:marBottom w:val="0"/>
          <w:divBdr>
            <w:top w:val="none" w:sz="0" w:space="0" w:color="auto"/>
            <w:left w:val="none" w:sz="0" w:space="0" w:color="auto"/>
            <w:bottom w:val="none" w:sz="0" w:space="0" w:color="auto"/>
            <w:right w:val="none" w:sz="0" w:space="0" w:color="auto"/>
          </w:divBdr>
        </w:div>
        <w:div w:id="922104920">
          <w:marLeft w:val="562"/>
          <w:marRight w:val="0"/>
          <w:marTop w:val="100"/>
          <w:marBottom w:val="0"/>
          <w:divBdr>
            <w:top w:val="none" w:sz="0" w:space="0" w:color="auto"/>
            <w:left w:val="none" w:sz="0" w:space="0" w:color="auto"/>
            <w:bottom w:val="none" w:sz="0" w:space="0" w:color="auto"/>
            <w:right w:val="none" w:sz="0" w:space="0" w:color="auto"/>
          </w:divBdr>
        </w:div>
        <w:div w:id="1809591130">
          <w:marLeft w:val="562"/>
          <w:marRight w:val="0"/>
          <w:marTop w:val="100"/>
          <w:marBottom w:val="0"/>
          <w:divBdr>
            <w:top w:val="none" w:sz="0" w:space="0" w:color="auto"/>
            <w:left w:val="none" w:sz="0" w:space="0" w:color="auto"/>
            <w:bottom w:val="none" w:sz="0" w:space="0" w:color="auto"/>
            <w:right w:val="none" w:sz="0" w:space="0" w:color="auto"/>
          </w:divBdr>
        </w:div>
      </w:divsChild>
    </w:div>
    <w:div w:id="673537892">
      <w:bodyDiv w:val="1"/>
      <w:marLeft w:val="0"/>
      <w:marRight w:val="0"/>
      <w:marTop w:val="0"/>
      <w:marBottom w:val="0"/>
      <w:divBdr>
        <w:top w:val="none" w:sz="0" w:space="0" w:color="auto"/>
        <w:left w:val="none" w:sz="0" w:space="0" w:color="auto"/>
        <w:bottom w:val="none" w:sz="0" w:space="0" w:color="auto"/>
        <w:right w:val="none" w:sz="0" w:space="0" w:color="auto"/>
      </w:divBdr>
    </w:div>
    <w:div w:id="687685345">
      <w:bodyDiv w:val="1"/>
      <w:marLeft w:val="0"/>
      <w:marRight w:val="0"/>
      <w:marTop w:val="0"/>
      <w:marBottom w:val="0"/>
      <w:divBdr>
        <w:top w:val="none" w:sz="0" w:space="0" w:color="auto"/>
        <w:left w:val="none" w:sz="0" w:space="0" w:color="auto"/>
        <w:bottom w:val="none" w:sz="0" w:space="0" w:color="auto"/>
        <w:right w:val="none" w:sz="0" w:space="0" w:color="auto"/>
      </w:divBdr>
    </w:div>
    <w:div w:id="695617603">
      <w:bodyDiv w:val="1"/>
      <w:marLeft w:val="0"/>
      <w:marRight w:val="0"/>
      <w:marTop w:val="0"/>
      <w:marBottom w:val="0"/>
      <w:divBdr>
        <w:top w:val="none" w:sz="0" w:space="0" w:color="auto"/>
        <w:left w:val="none" w:sz="0" w:space="0" w:color="auto"/>
        <w:bottom w:val="none" w:sz="0" w:space="0" w:color="auto"/>
        <w:right w:val="none" w:sz="0" w:space="0" w:color="auto"/>
      </w:divBdr>
    </w:div>
    <w:div w:id="713581174">
      <w:bodyDiv w:val="1"/>
      <w:marLeft w:val="0"/>
      <w:marRight w:val="0"/>
      <w:marTop w:val="0"/>
      <w:marBottom w:val="0"/>
      <w:divBdr>
        <w:top w:val="none" w:sz="0" w:space="0" w:color="auto"/>
        <w:left w:val="none" w:sz="0" w:space="0" w:color="auto"/>
        <w:bottom w:val="none" w:sz="0" w:space="0" w:color="auto"/>
        <w:right w:val="none" w:sz="0" w:space="0" w:color="auto"/>
      </w:divBdr>
    </w:div>
    <w:div w:id="715470374">
      <w:bodyDiv w:val="1"/>
      <w:marLeft w:val="0"/>
      <w:marRight w:val="0"/>
      <w:marTop w:val="0"/>
      <w:marBottom w:val="0"/>
      <w:divBdr>
        <w:top w:val="none" w:sz="0" w:space="0" w:color="auto"/>
        <w:left w:val="none" w:sz="0" w:space="0" w:color="auto"/>
        <w:bottom w:val="none" w:sz="0" w:space="0" w:color="auto"/>
        <w:right w:val="none" w:sz="0" w:space="0" w:color="auto"/>
      </w:divBdr>
    </w:div>
    <w:div w:id="726532123">
      <w:bodyDiv w:val="1"/>
      <w:marLeft w:val="0"/>
      <w:marRight w:val="0"/>
      <w:marTop w:val="0"/>
      <w:marBottom w:val="0"/>
      <w:divBdr>
        <w:top w:val="none" w:sz="0" w:space="0" w:color="auto"/>
        <w:left w:val="none" w:sz="0" w:space="0" w:color="auto"/>
        <w:bottom w:val="none" w:sz="0" w:space="0" w:color="auto"/>
        <w:right w:val="none" w:sz="0" w:space="0" w:color="auto"/>
      </w:divBdr>
    </w:div>
    <w:div w:id="736441532">
      <w:bodyDiv w:val="1"/>
      <w:marLeft w:val="0"/>
      <w:marRight w:val="0"/>
      <w:marTop w:val="0"/>
      <w:marBottom w:val="0"/>
      <w:divBdr>
        <w:top w:val="none" w:sz="0" w:space="0" w:color="auto"/>
        <w:left w:val="none" w:sz="0" w:space="0" w:color="auto"/>
        <w:bottom w:val="none" w:sz="0" w:space="0" w:color="auto"/>
        <w:right w:val="none" w:sz="0" w:space="0" w:color="auto"/>
      </w:divBdr>
    </w:div>
    <w:div w:id="765614182">
      <w:bodyDiv w:val="1"/>
      <w:marLeft w:val="0"/>
      <w:marRight w:val="0"/>
      <w:marTop w:val="0"/>
      <w:marBottom w:val="0"/>
      <w:divBdr>
        <w:top w:val="none" w:sz="0" w:space="0" w:color="auto"/>
        <w:left w:val="none" w:sz="0" w:space="0" w:color="auto"/>
        <w:bottom w:val="none" w:sz="0" w:space="0" w:color="auto"/>
        <w:right w:val="none" w:sz="0" w:space="0" w:color="auto"/>
      </w:divBdr>
    </w:div>
    <w:div w:id="782572930">
      <w:bodyDiv w:val="1"/>
      <w:marLeft w:val="0"/>
      <w:marRight w:val="0"/>
      <w:marTop w:val="0"/>
      <w:marBottom w:val="0"/>
      <w:divBdr>
        <w:top w:val="none" w:sz="0" w:space="0" w:color="auto"/>
        <w:left w:val="none" w:sz="0" w:space="0" w:color="auto"/>
        <w:bottom w:val="none" w:sz="0" w:space="0" w:color="auto"/>
        <w:right w:val="none" w:sz="0" w:space="0" w:color="auto"/>
      </w:divBdr>
    </w:div>
    <w:div w:id="848719842">
      <w:bodyDiv w:val="1"/>
      <w:marLeft w:val="0"/>
      <w:marRight w:val="0"/>
      <w:marTop w:val="0"/>
      <w:marBottom w:val="0"/>
      <w:divBdr>
        <w:top w:val="none" w:sz="0" w:space="0" w:color="auto"/>
        <w:left w:val="none" w:sz="0" w:space="0" w:color="auto"/>
        <w:bottom w:val="none" w:sz="0" w:space="0" w:color="auto"/>
        <w:right w:val="none" w:sz="0" w:space="0" w:color="auto"/>
      </w:divBdr>
    </w:div>
    <w:div w:id="866213639">
      <w:bodyDiv w:val="1"/>
      <w:marLeft w:val="0"/>
      <w:marRight w:val="0"/>
      <w:marTop w:val="0"/>
      <w:marBottom w:val="0"/>
      <w:divBdr>
        <w:top w:val="none" w:sz="0" w:space="0" w:color="auto"/>
        <w:left w:val="none" w:sz="0" w:space="0" w:color="auto"/>
        <w:bottom w:val="none" w:sz="0" w:space="0" w:color="auto"/>
        <w:right w:val="none" w:sz="0" w:space="0" w:color="auto"/>
      </w:divBdr>
    </w:div>
    <w:div w:id="880170360">
      <w:bodyDiv w:val="1"/>
      <w:marLeft w:val="0"/>
      <w:marRight w:val="0"/>
      <w:marTop w:val="0"/>
      <w:marBottom w:val="0"/>
      <w:divBdr>
        <w:top w:val="none" w:sz="0" w:space="0" w:color="auto"/>
        <w:left w:val="none" w:sz="0" w:space="0" w:color="auto"/>
        <w:bottom w:val="none" w:sz="0" w:space="0" w:color="auto"/>
        <w:right w:val="none" w:sz="0" w:space="0" w:color="auto"/>
      </w:divBdr>
    </w:div>
    <w:div w:id="887492476">
      <w:bodyDiv w:val="1"/>
      <w:marLeft w:val="0"/>
      <w:marRight w:val="0"/>
      <w:marTop w:val="0"/>
      <w:marBottom w:val="0"/>
      <w:divBdr>
        <w:top w:val="none" w:sz="0" w:space="0" w:color="auto"/>
        <w:left w:val="none" w:sz="0" w:space="0" w:color="auto"/>
        <w:bottom w:val="none" w:sz="0" w:space="0" w:color="auto"/>
        <w:right w:val="none" w:sz="0" w:space="0" w:color="auto"/>
      </w:divBdr>
    </w:div>
    <w:div w:id="895437922">
      <w:bodyDiv w:val="1"/>
      <w:marLeft w:val="0"/>
      <w:marRight w:val="0"/>
      <w:marTop w:val="0"/>
      <w:marBottom w:val="0"/>
      <w:divBdr>
        <w:top w:val="none" w:sz="0" w:space="0" w:color="auto"/>
        <w:left w:val="none" w:sz="0" w:space="0" w:color="auto"/>
        <w:bottom w:val="none" w:sz="0" w:space="0" w:color="auto"/>
        <w:right w:val="none" w:sz="0" w:space="0" w:color="auto"/>
      </w:divBdr>
    </w:div>
    <w:div w:id="896161252">
      <w:bodyDiv w:val="1"/>
      <w:marLeft w:val="0"/>
      <w:marRight w:val="0"/>
      <w:marTop w:val="0"/>
      <w:marBottom w:val="0"/>
      <w:divBdr>
        <w:top w:val="none" w:sz="0" w:space="0" w:color="auto"/>
        <w:left w:val="none" w:sz="0" w:space="0" w:color="auto"/>
        <w:bottom w:val="none" w:sz="0" w:space="0" w:color="auto"/>
        <w:right w:val="none" w:sz="0" w:space="0" w:color="auto"/>
      </w:divBdr>
    </w:div>
    <w:div w:id="958728985">
      <w:bodyDiv w:val="1"/>
      <w:marLeft w:val="0"/>
      <w:marRight w:val="0"/>
      <w:marTop w:val="0"/>
      <w:marBottom w:val="0"/>
      <w:divBdr>
        <w:top w:val="none" w:sz="0" w:space="0" w:color="auto"/>
        <w:left w:val="none" w:sz="0" w:space="0" w:color="auto"/>
        <w:bottom w:val="none" w:sz="0" w:space="0" w:color="auto"/>
        <w:right w:val="none" w:sz="0" w:space="0" w:color="auto"/>
      </w:divBdr>
    </w:div>
    <w:div w:id="962074419">
      <w:bodyDiv w:val="1"/>
      <w:marLeft w:val="0"/>
      <w:marRight w:val="0"/>
      <w:marTop w:val="0"/>
      <w:marBottom w:val="0"/>
      <w:divBdr>
        <w:top w:val="none" w:sz="0" w:space="0" w:color="auto"/>
        <w:left w:val="none" w:sz="0" w:space="0" w:color="auto"/>
        <w:bottom w:val="none" w:sz="0" w:space="0" w:color="auto"/>
        <w:right w:val="none" w:sz="0" w:space="0" w:color="auto"/>
      </w:divBdr>
    </w:div>
    <w:div w:id="976449136">
      <w:bodyDiv w:val="1"/>
      <w:marLeft w:val="0"/>
      <w:marRight w:val="0"/>
      <w:marTop w:val="0"/>
      <w:marBottom w:val="0"/>
      <w:divBdr>
        <w:top w:val="none" w:sz="0" w:space="0" w:color="auto"/>
        <w:left w:val="none" w:sz="0" w:space="0" w:color="auto"/>
        <w:bottom w:val="none" w:sz="0" w:space="0" w:color="auto"/>
        <w:right w:val="none" w:sz="0" w:space="0" w:color="auto"/>
      </w:divBdr>
    </w:div>
    <w:div w:id="991252765">
      <w:bodyDiv w:val="1"/>
      <w:marLeft w:val="0"/>
      <w:marRight w:val="0"/>
      <w:marTop w:val="0"/>
      <w:marBottom w:val="0"/>
      <w:divBdr>
        <w:top w:val="none" w:sz="0" w:space="0" w:color="auto"/>
        <w:left w:val="none" w:sz="0" w:space="0" w:color="auto"/>
        <w:bottom w:val="none" w:sz="0" w:space="0" w:color="auto"/>
        <w:right w:val="none" w:sz="0" w:space="0" w:color="auto"/>
      </w:divBdr>
    </w:div>
    <w:div w:id="1023286054">
      <w:bodyDiv w:val="1"/>
      <w:marLeft w:val="0"/>
      <w:marRight w:val="0"/>
      <w:marTop w:val="0"/>
      <w:marBottom w:val="0"/>
      <w:divBdr>
        <w:top w:val="none" w:sz="0" w:space="0" w:color="auto"/>
        <w:left w:val="none" w:sz="0" w:space="0" w:color="auto"/>
        <w:bottom w:val="none" w:sz="0" w:space="0" w:color="auto"/>
        <w:right w:val="none" w:sz="0" w:space="0" w:color="auto"/>
      </w:divBdr>
    </w:div>
    <w:div w:id="1028795548">
      <w:bodyDiv w:val="1"/>
      <w:marLeft w:val="0"/>
      <w:marRight w:val="0"/>
      <w:marTop w:val="0"/>
      <w:marBottom w:val="0"/>
      <w:divBdr>
        <w:top w:val="none" w:sz="0" w:space="0" w:color="auto"/>
        <w:left w:val="none" w:sz="0" w:space="0" w:color="auto"/>
        <w:bottom w:val="none" w:sz="0" w:space="0" w:color="auto"/>
        <w:right w:val="none" w:sz="0" w:space="0" w:color="auto"/>
      </w:divBdr>
    </w:div>
    <w:div w:id="1046494294">
      <w:bodyDiv w:val="1"/>
      <w:marLeft w:val="0"/>
      <w:marRight w:val="0"/>
      <w:marTop w:val="0"/>
      <w:marBottom w:val="0"/>
      <w:divBdr>
        <w:top w:val="none" w:sz="0" w:space="0" w:color="auto"/>
        <w:left w:val="none" w:sz="0" w:space="0" w:color="auto"/>
        <w:bottom w:val="none" w:sz="0" w:space="0" w:color="auto"/>
        <w:right w:val="none" w:sz="0" w:space="0" w:color="auto"/>
      </w:divBdr>
    </w:div>
    <w:div w:id="1060641528">
      <w:bodyDiv w:val="1"/>
      <w:marLeft w:val="0"/>
      <w:marRight w:val="0"/>
      <w:marTop w:val="0"/>
      <w:marBottom w:val="0"/>
      <w:divBdr>
        <w:top w:val="none" w:sz="0" w:space="0" w:color="auto"/>
        <w:left w:val="none" w:sz="0" w:space="0" w:color="auto"/>
        <w:bottom w:val="none" w:sz="0" w:space="0" w:color="auto"/>
        <w:right w:val="none" w:sz="0" w:space="0" w:color="auto"/>
      </w:divBdr>
    </w:div>
    <w:div w:id="1073163968">
      <w:bodyDiv w:val="1"/>
      <w:marLeft w:val="0"/>
      <w:marRight w:val="0"/>
      <w:marTop w:val="0"/>
      <w:marBottom w:val="0"/>
      <w:divBdr>
        <w:top w:val="none" w:sz="0" w:space="0" w:color="auto"/>
        <w:left w:val="none" w:sz="0" w:space="0" w:color="auto"/>
        <w:bottom w:val="none" w:sz="0" w:space="0" w:color="auto"/>
        <w:right w:val="none" w:sz="0" w:space="0" w:color="auto"/>
      </w:divBdr>
    </w:div>
    <w:div w:id="1076199139">
      <w:bodyDiv w:val="1"/>
      <w:marLeft w:val="0"/>
      <w:marRight w:val="0"/>
      <w:marTop w:val="0"/>
      <w:marBottom w:val="0"/>
      <w:divBdr>
        <w:top w:val="none" w:sz="0" w:space="0" w:color="auto"/>
        <w:left w:val="none" w:sz="0" w:space="0" w:color="auto"/>
        <w:bottom w:val="none" w:sz="0" w:space="0" w:color="auto"/>
        <w:right w:val="none" w:sz="0" w:space="0" w:color="auto"/>
      </w:divBdr>
      <w:divsChild>
        <w:div w:id="1898473160">
          <w:marLeft w:val="562"/>
          <w:marRight w:val="0"/>
          <w:marTop w:val="100"/>
          <w:marBottom w:val="0"/>
          <w:divBdr>
            <w:top w:val="none" w:sz="0" w:space="0" w:color="auto"/>
            <w:left w:val="none" w:sz="0" w:space="0" w:color="auto"/>
            <w:bottom w:val="none" w:sz="0" w:space="0" w:color="auto"/>
            <w:right w:val="none" w:sz="0" w:space="0" w:color="auto"/>
          </w:divBdr>
        </w:div>
      </w:divsChild>
    </w:div>
    <w:div w:id="1121074485">
      <w:bodyDiv w:val="1"/>
      <w:marLeft w:val="0"/>
      <w:marRight w:val="0"/>
      <w:marTop w:val="0"/>
      <w:marBottom w:val="0"/>
      <w:divBdr>
        <w:top w:val="none" w:sz="0" w:space="0" w:color="auto"/>
        <w:left w:val="none" w:sz="0" w:space="0" w:color="auto"/>
        <w:bottom w:val="none" w:sz="0" w:space="0" w:color="auto"/>
        <w:right w:val="none" w:sz="0" w:space="0" w:color="auto"/>
      </w:divBdr>
    </w:div>
    <w:div w:id="1148667318">
      <w:bodyDiv w:val="1"/>
      <w:marLeft w:val="0"/>
      <w:marRight w:val="0"/>
      <w:marTop w:val="0"/>
      <w:marBottom w:val="0"/>
      <w:divBdr>
        <w:top w:val="none" w:sz="0" w:space="0" w:color="auto"/>
        <w:left w:val="none" w:sz="0" w:space="0" w:color="auto"/>
        <w:bottom w:val="none" w:sz="0" w:space="0" w:color="auto"/>
        <w:right w:val="none" w:sz="0" w:space="0" w:color="auto"/>
      </w:divBdr>
    </w:div>
    <w:div w:id="1171598772">
      <w:bodyDiv w:val="1"/>
      <w:marLeft w:val="0"/>
      <w:marRight w:val="0"/>
      <w:marTop w:val="0"/>
      <w:marBottom w:val="0"/>
      <w:divBdr>
        <w:top w:val="none" w:sz="0" w:space="0" w:color="auto"/>
        <w:left w:val="none" w:sz="0" w:space="0" w:color="auto"/>
        <w:bottom w:val="none" w:sz="0" w:space="0" w:color="auto"/>
        <w:right w:val="none" w:sz="0" w:space="0" w:color="auto"/>
      </w:divBdr>
    </w:div>
    <w:div w:id="1186751226">
      <w:bodyDiv w:val="1"/>
      <w:marLeft w:val="0"/>
      <w:marRight w:val="0"/>
      <w:marTop w:val="0"/>
      <w:marBottom w:val="0"/>
      <w:divBdr>
        <w:top w:val="none" w:sz="0" w:space="0" w:color="auto"/>
        <w:left w:val="none" w:sz="0" w:space="0" w:color="auto"/>
        <w:bottom w:val="none" w:sz="0" w:space="0" w:color="auto"/>
        <w:right w:val="none" w:sz="0" w:space="0" w:color="auto"/>
      </w:divBdr>
    </w:div>
    <w:div w:id="1225415261">
      <w:bodyDiv w:val="1"/>
      <w:marLeft w:val="0"/>
      <w:marRight w:val="0"/>
      <w:marTop w:val="0"/>
      <w:marBottom w:val="0"/>
      <w:divBdr>
        <w:top w:val="none" w:sz="0" w:space="0" w:color="auto"/>
        <w:left w:val="none" w:sz="0" w:space="0" w:color="auto"/>
        <w:bottom w:val="none" w:sz="0" w:space="0" w:color="auto"/>
        <w:right w:val="none" w:sz="0" w:space="0" w:color="auto"/>
      </w:divBdr>
    </w:div>
    <w:div w:id="1260066241">
      <w:bodyDiv w:val="1"/>
      <w:marLeft w:val="0"/>
      <w:marRight w:val="0"/>
      <w:marTop w:val="0"/>
      <w:marBottom w:val="0"/>
      <w:divBdr>
        <w:top w:val="none" w:sz="0" w:space="0" w:color="auto"/>
        <w:left w:val="none" w:sz="0" w:space="0" w:color="auto"/>
        <w:bottom w:val="none" w:sz="0" w:space="0" w:color="auto"/>
        <w:right w:val="none" w:sz="0" w:space="0" w:color="auto"/>
      </w:divBdr>
    </w:div>
    <w:div w:id="1271083645">
      <w:bodyDiv w:val="1"/>
      <w:marLeft w:val="0"/>
      <w:marRight w:val="0"/>
      <w:marTop w:val="0"/>
      <w:marBottom w:val="0"/>
      <w:divBdr>
        <w:top w:val="none" w:sz="0" w:space="0" w:color="auto"/>
        <w:left w:val="none" w:sz="0" w:space="0" w:color="auto"/>
        <w:bottom w:val="none" w:sz="0" w:space="0" w:color="auto"/>
        <w:right w:val="none" w:sz="0" w:space="0" w:color="auto"/>
      </w:divBdr>
    </w:div>
    <w:div w:id="1282300558">
      <w:bodyDiv w:val="1"/>
      <w:marLeft w:val="0"/>
      <w:marRight w:val="0"/>
      <w:marTop w:val="0"/>
      <w:marBottom w:val="0"/>
      <w:divBdr>
        <w:top w:val="none" w:sz="0" w:space="0" w:color="auto"/>
        <w:left w:val="none" w:sz="0" w:space="0" w:color="auto"/>
        <w:bottom w:val="none" w:sz="0" w:space="0" w:color="auto"/>
        <w:right w:val="none" w:sz="0" w:space="0" w:color="auto"/>
      </w:divBdr>
    </w:div>
    <w:div w:id="1332835270">
      <w:bodyDiv w:val="1"/>
      <w:marLeft w:val="0"/>
      <w:marRight w:val="0"/>
      <w:marTop w:val="0"/>
      <w:marBottom w:val="0"/>
      <w:divBdr>
        <w:top w:val="none" w:sz="0" w:space="0" w:color="auto"/>
        <w:left w:val="none" w:sz="0" w:space="0" w:color="auto"/>
        <w:bottom w:val="none" w:sz="0" w:space="0" w:color="auto"/>
        <w:right w:val="none" w:sz="0" w:space="0" w:color="auto"/>
      </w:divBdr>
      <w:divsChild>
        <w:div w:id="350570733">
          <w:marLeft w:val="720"/>
          <w:marRight w:val="0"/>
          <w:marTop w:val="0"/>
          <w:marBottom w:val="0"/>
          <w:divBdr>
            <w:top w:val="none" w:sz="0" w:space="0" w:color="auto"/>
            <w:left w:val="none" w:sz="0" w:space="0" w:color="auto"/>
            <w:bottom w:val="none" w:sz="0" w:space="0" w:color="auto"/>
            <w:right w:val="none" w:sz="0" w:space="0" w:color="auto"/>
          </w:divBdr>
        </w:div>
      </w:divsChild>
    </w:div>
    <w:div w:id="1336301569">
      <w:bodyDiv w:val="1"/>
      <w:marLeft w:val="0"/>
      <w:marRight w:val="0"/>
      <w:marTop w:val="0"/>
      <w:marBottom w:val="0"/>
      <w:divBdr>
        <w:top w:val="none" w:sz="0" w:space="0" w:color="auto"/>
        <w:left w:val="none" w:sz="0" w:space="0" w:color="auto"/>
        <w:bottom w:val="none" w:sz="0" w:space="0" w:color="auto"/>
        <w:right w:val="none" w:sz="0" w:space="0" w:color="auto"/>
      </w:divBdr>
    </w:div>
    <w:div w:id="1337683038">
      <w:bodyDiv w:val="1"/>
      <w:marLeft w:val="0"/>
      <w:marRight w:val="0"/>
      <w:marTop w:val="0"/>
      <w:marBottom w:val="0"/>
      <w:divBdr>
        <w:top w:val="none" w:sz="0" w:space="0" w:color="auto"/>
        <w:left w:val="none" w:sz="0" w:space="0" w:color="auto"/>
        <w:bottom w:val="none" w:sz="0" w:space="0" w:color="auto"/>
        <w:right w:val="none" w:sz="0" w:space="0" w:color="auto"/>
      </w:divBdr>
    </w:div>
    <w:div w:id="1342660235">
      <w:bodyDiv w:val="1"/>
      <w:marLeft w:val="0"/>
      <w:marRight w:val="0"/>
      <w:marTop w:val="0"/>
      <w:marBottom w:val="0"/>
      <w:divBdr>
        <w:top w:val="none" w:sz="0" w:space="0" w:color="auto"/>
        <w:left w:val="none" w:sz="0" w:space="0" w:color="auto"/>
        <w:bottom w:val="none" w:sz="0" w:space="0" w:color="auto"/>
        <w:right w:val="none" w:sz="0" w:space="0" w:color="auto"/>
      </w:divBdr>
    </w:div>
    <w:div w:id="1353336863">
      <w:bodyDiv w:val="1"/>
      <w:marLeft w:val="0"/>
      <w:marRight w:val="0"/>
      <w:marTop w:val="0"/>
      <w:marBottom w:val="0"/>
      <w:divBdr>
        <w:top w:val="none" w:sz="0" w:space="0" w:color="auto"/>
        <w:left w:val="none" w:sz="0" w:space="0" w:color="auto"/>
        <w:bottom w:val="none" w:sz="0" w:space="0" w:color="auto"/>
        <w:right w:val="none" w:sz="0" w:space="0" w:color="auto"/>
      </w:divBdr>
    </w:div>
    <w:div w:id="1357148733">
      <w:bodyDiv w:val="1"/>
      <w:marLeft w:val="0"/>
      <w:marRight w:val="0"/>
      <w:marTop w:val="0"/>
      <w:marBottom w:val="0"/>
      <w:divBdr>
        <w:top w:val="none" w:sz="0" w:space="0" w:color="auto"/>
        <w:left w:val="none" w:sz="0" w:space="0" w:color="auto"/>
        <w:bottom w:val="none" w:sz="0" w:space="0" w:color="auto"/>
        <w:right w:val="none" w:sz="0" w:space="0" w:color="auto"/>
      </w:divBdr>
    </w:div>
    <w:div w:id="1385445302">
      <w:bodyDiv w:val="1"/>
      <w:marLeft w:val="0"/>
      <w:marRight w:val="0"/>
      <w:marTop w:val="0"/>
      <w:marBottom w:val="0"/>
      <w:divBdr>
        <w:top w:val="none" w:sz="0" w:space="0" w:color="auto"/>
        <w:left w:val="none" w:sz="0" w:space="0" w:color="auto"/>
        <w:bottom w:val="none" w:sz="0" w:space="0" w:color="auto"/>
        <w:right w:val="none" w:sz="0" w:space="0" w:color="auto"/>
      </w:divBdr>
    </w:div>
    <w:div w:id="1408264541">
      <w:bodyDiv w:val="1"/>
      <w:marLeft w:val="0"/>
      <w:marRight w:val="0"/>
      <w:marTop w:val="0"/>
      <w:marBottom w:val="0"/>
      <w:divBdr>
        <w:top w:val="none" w:sz="0" w:space="0" w:color="auto"/>
        <w:left w:val="none" w:sz="0" w:space="0" w:color="auto"/>
        <w:bottom w:val="none" w:sz="0" w:space="0" w:color="auto"/>
        <w:right w:val="none" w:sz="0" w:space="0" w:color="auto"/>
      </w:divBdr>
    </w:div>
    <w:div w:id="1427580700">
      <w:bodyDiv w:val="1"/>
      <w:marLeft w:val="0"/>
      <w:marRight w:val="0"/>
      <w:marTop w:val="0"/>
      <w:marBottom w:val="0"/>
      <w:divBdr>
        <w:top w:val="none" w:sz="0" w:space="0" w:color="auto"/>
        <w:left w:val="none" w:sz="0" w:space="0" w:color="auto"/>
        <w:bottom w:val="none" w:sz="0" w:space="0" w:color="auto"/>
        <w:right w:val="none" w:sz="0" w:space="0" w:color="auto"/>
      </w:divBdr>
    </w:div>
    <w:div w:id="1447777086">
      <w:bodyDiv w:val="1"/>
      <w:marLeft w:val="0"/>
      <w:marRight w:val="0"/>
      <w:marTop w:val="0"/>
      <w:marBottom w:val="0"/>
      <w:divBdr>
        <w:top w:val="none" w:sz="0" w:space="0" w:color="auto"/>
        <w:left w:val="none" w:sz="0" w:space="0" w:color="auto"/>
        <w:bottom w:val="none" w:sz="0" w:space="0" w:color="auto"/>
        <w:right w:val="none" w:sz="0" w:space="0" w:color="auto"/>
      </w:divBdr>
    </w:div>
    <w:div w:id="1484807538">
      <w:bodyDiv w:val="1"/>
      <w:marLeft w:val="0"/>
      <w:marRight w:val="0"/>
      <w:marTop w:val="0"/>
      <w:marBottom w:val="0"/>
      <w:divBdr>
        <w:top w:val="none" w:sz="0" w:space="0" w:color="auto"/>
        <w:left w:val="none" w:sz="0" w:space="0" w:color="auto"/>
        <w:bottom w:val="none" w:sz="0" w:space="0" w:color="auto"/>
        <w:right w:val="none" w:sz="0" w:space="0" w:color="auto"/>
      </w:divBdr>
    </w:div>
    <w:div w:id="1566647599">
      <w:bodyDiv w:val="1"/>
      <w:marLeft w:val="0"/>
      <w:marRight w:val="0"/>
      <w:marTop w:val="0"/>
      <w:marBottom w:val="0"/>
      <w:divBdr>
        <w:top w:val="none" w:sz="0" w:space="0" w:color="auto"/>
        <w:left w:val="none" w:sz="0" w:space="0" w:color="auto"/>
        <w:bottom w:val="none" w:sz="0" w:space="0" w:color="auto"/>
        <w:right w:val="none" w:sz="0" w:space="0" w:color="auto"/>
      </w:divBdr>
    </w:div>
    <w:div w:id="1584534755">
      <w:bodyDiv w:val="1"/>
      <w:marLeft w:val="0"/>
      <w:marRight w:val="0"/>
      <w:marTop w:val="0"/>
      <w:marBottom w:val="0"/>
      <w:divBdr>
        <w:top w:val="none" w:sz="0" w:space="0" w:color="auto"/>
        <w:left w:val="none" w:sz="0" w:space="0" w:color="auto"/>
        <w:bottom w:val="none" w:sz="0" w:space="0" w:color="auto"/>
        <w:right w:val="none" w:sz="0" w:space="0" w:color="auto"/>
      </w:divBdr>
    </w:div>
    <w:div w:id="1586068935">
      <w:bodyDiv w:val="1"/>
      <w:marLeft w:val="0"/>
      <w:marRight w:val="0"/>
      <w:marTop w:val="0"/>
      <w:marBottom w:val="0"/>
      <w:divBdr>
        <w:top w:val="none" w:sz="0" w:space="0" w:color="auto"/>
        <w:left w:val="none" w:sz="0" w:space="0" w:color="auto"/>
        <w:bottom w:val="none" w:sz="0" w:space="0" w:color="auto"/>
        <w:right w:val="none" w:sz="0" w:space="0" w:color="auto"/>
      </w:divBdr>
    </w:div>
    <w:div w:id="1618175995">
      <w:bodyDiv w:val="1"/>
      <w:marLeft w:val="0"/>
      <w:marRight w:val="0"/>
      <w:marTop w:val="0"/>
      <w:marBottom w:val="0"/>
      <w:divBdr>
        <w:top w:val="none" w:sz="0" w:space="0" w:color="auto"/>
        <w:left w:val="none" w:sz="0" w:space="0" w:color="auto"/>
        <w:bottom w:val="none" w:sz="0" w:space="0" w:color="auto"/>
        <w:right w:val="none" w:sz="0" w:space="0" w:color="auto"/>
      </w:divBdr>
    </w:div>
    <w:div w:id="1709915877">
      <w:bodyDiv w:val="1"/>
      <w:marLeft w:val="0"/>
      <w:marRight w:val="0"/>
      <w:marTop w:val="0"/>
      <w:marBottom w:val="0"/>
      <w:divBdr>
        <w:top w:val="none" w:sz="0" w:space="0" w:color="auto"/>
        <w:left w:val="none" w:sz="0" w:space="0" w:color="auto"/>
        <w:bottom w:val="none" w:sz="0" w:space="0" w:color="auto"/>
        <w:right w:val="none" w:sz="0" w:space="0" w:color="auto"/>
      </w:divBdr>
    </w:div>
    <w:div w:id="1725568878">
      <w:bodyDiv w:val="1"/>
      <w:marLeft w:val="0"/>
      <w:marRight w:val="0"/>
      <w:marTop w:val="0"/>
      <w:marBottom w:val="0"/>
      <w:divBdr>
        <w:top w:val="none" w:sz="0" w:space="0" w:color="auto"/>
        <w:left w:val="none" w:sz="0" w:space="0" w:color="auto"/>
        <w:bottom w:val="none" w:sz="0" w:space="0" w:color="auto"/>
        <w:right w:val="none" w:sz="0" w:space="0" w:color="auto"/>
      </w:divBdr>
    </w:div>
    <w:div w:id="1733961508">
      <w:bodyDiv w:val="1"/>
      <w:marLeft w:val="0"/>
      <w:marRight w:val="0"/>
      <w:marTop w:val="0"/>
      <w:marBottom w:val="0"/>
      <w:divBdr>
        <w:top w:val="none" w:sz="0" w:space="0" w:color="auto"/>
        <w:left w:val="none" w:sz="0" w:space="0" w:color="auto"/>
        <w:bottom w:val="none" w:sz="0" w:space="0" w:color="auto"/>
        <w:right w:val="none" w:sz="0" w:space="0" w:color="auto"/>
      </w:divBdr>
    </w:div>
    <w:div w:id="1741051057">
      <w:bodyDiv w:val="1"/>
      <w:marLeft w:val="0"/>
      <w:marRight w:val="0"/>
      <w:marTop w:val="0"/>
      <w:marBottom w:val="0"/>
      <w:divBdr>
        <w:top w:val="none" w:sz="0" w:space="0" w:color="auto"/>
        <w:left w:val="none" w:sz="0" w:space="0" w:color="auto"/>
        <w:bottom w:val="none" w:sz="0" w:space="0" w:color="auto"/>
        <w:right w:val="none" w:sz="0" w:space="0" w:color="auto"/>
      </w:divBdr>
    </w:div>
    <w:div w:id="1743866530">
      <w:bodyDiv w:val="1"/>
      <w:marLeft w:val="0"/>
      <w:marRight w:val="0"/>
      <w:marTop w:val="0"/>
      <w:marBottom w:val="0"/>
      <w:divBdr>
        <w:top w:val="none" w:sz="0" w:space="0" w:color="auto"/>
        <w:left w:val="none" w:sz="0" w:space="0" w:color="auto"/>
        <w:bottom w:val="none" w:sz="0" w:space="0" w:color="auto"/>
        <w:right w:val="none" w:sz="0" w:space="0" w:color="auto"/>
      </w:divBdr>
    </w:div>
    <w:div w:id="1745909716">
      <w:bodyDiv w:val="1"/>
      <w:marLeft w:val="0"/>
      <w:marRight w:val="0"/>
      <w:marTop w:val="0"/>
      <w:marBottom w:val="0"/>
      <w:divBdr>
        <w:top w:val="none" w:sz="0" w:space="0" w:color="auto"/>
        <w:left w:val="none" w:sz="0" w:space="0" w:color="auto"/>
        <w:bottom w:val="none" w:sz="0" w:space="0" w:color="auto"/>
        <w:right w:val="none" w:sz="0" w:space="0" w:color="auto"/>
      </w:divBdr>
      <w:divsChild>
        <w:div w:id="1534270862">
          <w:marLeft w:val="562"/>
          <w:marRight w:val="0"/>
          <w:marTop w:val="100"/>
          <w:marBottom w:val="0"/>
          <w:divBdr>
            <w:top w:val="none" w:sz="0" w:space="0" w:color="auto"/>
            <w:left w:val="none" w:sz="0" w:space="0" w:color="auto"/>
            <w:bottom w:val="none" w:sz="0" w:space="0" w:color="auto"/>
            <w:right w:val="none" w:sz="0" w:space="0" w:color="auto"/>
          </w:divBdr>
        </w:div>
      </w:divsChild>
    </w:div>
    <w:div w:id="1771122500">
      <w:bodyDiv w:val="1"/>
      <w:marLeft w:val="0"/>
      <w:marRight w:val="0"/>
      <w:marTop w:val="0"/>
      <w:marBottom w:val="0"/>
      <w:divBdr>
        <w:top w:val="none" w:sz="0" w:space="0" w:color="auto"/>
        <w:left w:val="none" w:sz="0" w:space="0" w:color="auto"/>
        <w:bottom w:val="none" w:sz="0" w:space="0" w:color="auto"/>
        <w:right w:val="none" w:sz="0" w:space="0" w:color="auto"/>
      </w:divBdr>
    </w:div>
    <w:div w:id="1775203929">
      <w:bodyDiv w:val="1"/>
      <w:marLeft w:val="0"/>
      <w:marRight w:val="0"/>
      <w:marTop w:val="0"/>
      <w:marBottom w:val="0"/>
      <w:divBdr>
        <w:top w:val="none" w:sz="0" w:space="0" w:color="auto"/>
        <w:left w:val="none" w:sz="0" w:space="0" w:color="auto"/>
        <w:bottom w:val="none" w:sz="0" w:space="0" w:color="auto"/>
        <w:right w:val="none" w:sz="0" w:space="0" w:color="auto"/>
      </w:divBdr>
      <w:divsChild>
        <w:div w:id="786780899">
          <w:marLeft w:val="0"/>
          <w:marRight w:val="0"/>
          <w:marTop w:val="0"/>
          <w:marBottom w:val="0"/>
          <w:divBdr>
            <w:top w:val="none" w:sz="0" w:space="0" w:color="auto"/>
            <w:left w:val="none" w:sz="0" w:space="0" w:color="auto"/>
            <w:bottom w:val="none" w:sz="0" w:space="0" w:color="auto"/>
            <w:right w:val="none" w:sz="0" w:space="0" w:color="auto"/>
          </w:divBdr>
          <w:divsChild>
            <w:div w:id="1161434585">
              <w:marLeft w:val="0"/>
              <w:marRight w:val="0"/>
              <w:marTop w:val="0"/>
              <w:marBottom w:val="0"/>
              <w:divBdr>
                <w:top w:val="none" w:sz="0" w:space="0" w:color="auto"/>
                <w:left w:val="none" w:sz="0" w:space="0" w:color="auto"/>
                <w:bottom w:val="none" w:sz="0" w:space="0" w:color="auto"/>
                <w:right w:val="none" w:sz="0" w:space="0" w:color="auto"/>
              </w:divBdr>
              <w:divsChild>
                <w:div w:id="1591351630">
                  <w:marLeft w:val="0"/>
                  <w:marRight w:val="0"/>
                  <w:marTop w:val="0"/>
                  <w:marBottom w:val="0"/>
                  <w:divBdr>
                    <w:top w:val="none" w:sz="0" w:space="0" w:color="auto"/>
                    <w:left w:val="none" w:sz="0" w:space="0" w:color="auto"/>
                    <w:bottom w:val="none" w:sz="0" w:space="0" w:color="auto"/>
                    <w:right w:val="none" w:sz="0" w:space="0" w:color="auto"/>
                  </w:divBdr>
                  <w:divsChild>
                    <w:div w:id="12639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65614">
      <w:bodyDiv w:val="1"/>
      <w:marLeft w:val="0"/>
      <w:marRight w:val="0"/>
      <w:marTop w:val="0"/>
      <w:marBottom w:val="0"/>
      <w:divBdr>
        <w:top w:val="none" w:sz="0" w:space="0" w:color="auto"/>
        <w:left w:val="none" w:sz="0" w:space="0" w:color="auto"/>
        <w:bottom w:val="none" w:sz="0" w:space="0" w:color="auto"/>
        <w:right w:val="none" w:sz="0" w:space="0" w:color="auto"/>
      </w:divBdr>
    </w:div>
    <w:div w:id="1777825469">
      <w:bodyDiv w:val="1"/>
      <w:marLeft w:val="0"/>
      <w:marRight w:val="0"/>
      <w:marTop w:val="0"/>
      <w:marBottom w:val="0"/>
      <w:divBdr>
        <w:top w:val="none" w:sz="0" w:space="0" w:color="auto"/>
        <w:left w:val="none" w:sz="0" w:space="0" w:color="auto"/>
        <w:bottom w:val="none" w:sz="0" w:space="0" w:color="auto"/>
        <w:right w:val="none" w:sz="0" w:space="0" w:color="auto"/>
      </w:divBdr>
    </w:div>
    <w:div w:id="1787311660">
      <w:bodyDiv w:val="1"/>
      <w:marLeft w:val="0"/>
      <w:marRight w:val="0"/>
      <w:marTop w:val="0"/>
      <w:marBottom w:val="0"/>
      <w:divBdr>
        <w:top w:val="none" w:sz="0" w:space="0" w:color="auto"/>
        <w:left w:val="none" w:sz="0" w:space="0" w:color="auto"/>
        <w:bottom w:val="none" w:sz="0" w:space="0" w:color="auto"/>
        <w:right w:val="none" w:sz="0" w:space="0" w:color="auto"/>
      </w:divBdr>
    </w:div>
    <w:div w:id="1810970636">
      <w:bodyDiv w:val="1"/>
      <w:marLeft w:val="0"/>
      <w:marRight w:val="0"/>
      <w:marTop w:val="0"/>
      <w:marBottom w:val="0"/>
      <w:divBdr>
        <w:top w:val="none" w:sz="0" w:space="0" w:color="auto"/>
        <w:left w:val="none" w:sz="0" w:space="0" w:color="auto"/>
        <w:bottom w:val="none" w:sz="0" w:space="0" w:color="auto"/>
        <w:right w:val="none" w:sz="0" w:space="0" w:color="auto"/>
      </w:divBdr>
    </w:div>
    <w:div w:id="1849980033">
      <w:bodyDiv w:val="1"/>
      <w:marLeft w:val="0"/>
      <w:marRight w:val="0"/>
      <w:marTop w:val="0"/>
      <w:marBottom w:val="0"/>
      <w:divBdr>
        <w:top w:val="none" w:sz="0" w:space="0" w:color="auto"/>
        <w:left w:val="none" w:sz="0" w:space="0" w:color="auto"/>
        <w:bottom w:val="none" w:sz="0" w:space="0" w:color="auto"/>
        <w:right w:val="none" w:sz="0" w:space="0" w:color="auto"/>
      </w:divBdr>
    </w:div>
    <w:div w:id="1893498851">
      <w:bodyDiv w:val="1"/>
      <w:marLeft w:val="0"/>
      <w:marRight w:val="0"/>
      <w:marTop w:val="0"/>
      <w:marBottom w:val="0"/>
      <w:divBdr>
        <w:top w:val="none" w:sz="0" w:space="0" w:color="auto"/>
        <w:left w:val="none" w:sz="0" w:space="0" w:color="auto"/>
        <w:bottom w:val="none" w:sz="0" w:space="0" w:color="auto"/>
        <w:right w:val="none" w:sz="0" w:space="0" w:color="auto"/>
      </w:divBdr>
    </w:div>
    <w:div w:id="1896042375">
      <w:bodyDiv w:val="1"/>
      <w:marLeft w:val="0"/>
      <w:marRight w:val="0"/>
      <w:marTop w:val="0"/>
      <w:marBottom w:val="0"/>
      <w:divBdr>
        <w:top w:val="none" w:sz="0" w:space="0" w:color="auto"/>
        <w:left w:val="none" w:sz="0" w:space="0" w:color="auto"/>
        <w:bottom w:val="none" w:sz="0" w:space="0" w:color="auto"/>
        <w:right w:val="none" w:sz="0" w:space="0" w:color="auto"/>
      </w:divBdr>
    </w:div>
    <w:div w:id="1913420724">
      <w:bodyDiv w:val="1"/>
      <w:marLeft w:val="0"/>
      <w:marRight w:val="0"/>
      <w:marTop w:val="0"/>
      <w:marBottom w:val="0"/>
      <w:divBdr>
        <w:top w:val="none" w:sz="0" w:space="0" w:color="auto"/>
        <w:left w:val="none" w:sz="0" w:space="0" w:color="auto"/>
        <w:bottom w:val="none" w:sz="0" w:space="0" w:color="auto"/>
        <w:right w:val="none" w:sz="0" w:space="0" w:color="auto"/>
      </w:divBdr>
    </w:div>
    <w:div w:id="1924756148">
      <w:bodyDiv w:val="1"/>
      <w:marLeft w:val="0"/>
      <w:marRight w:val="0"/>
      <w:marTop w:val="0"/>
      <w:marBottom w:val="0"/>
      <w:divBdr>
        <w:top w:val="none" w:sz="0" w:space="0" w:color="auto"/>
        <w:left w:val="none" w:sz="0" w:space="0" w:color="auto"/>
        <w:bottom w:val="none" w:sz="0" w:space="0" w:color="auto"/>
        <w:right w:val="none" w:sz="0" w:space="0" w:color="auto"/>
      </w:divBdr>
    </w:div>
    <w:div w:id="1926112630">
      <w:bodyDiv w:val="1"/>
      <w:marLeft w:val="0"/>
      <w:marRight w:val="0"/>
      <w:marTop w:val="0"/>
      <w:marBottom w:val="0"/>
      <w:divBdr>
        <w:top w:val="none" w:sz="0" w:space="0" w:color="auto"/>
        <w:left w:val="none" w:sz="0" w:space="0" w:color="auto"/>
        <w:bottom w:val="none" w:sz="0" w:space="0" w:color="auto"/>
        <w:right w:val="none" w:sz="0" w:space="0" w:color="auto"/>
      </w:divBdr>
    </w:div>
    <w:div w:id="1938519725">
      <w:bodyDiv w:val="1"/>
      <w:marLeft w:val="0"/>
      <w:marRight w:val="0"/>
      <w:marTop w:val="0"/>
      <w:marBottom w:val="0"/>
      <w:divBdr>
        <w:top w:val="none" w:sz="0" w:space="0" w:color="auto"/>
        <w:left w:val="none" w:sz="0" w:space="0" w:color="auto"/>
        <w:bottom w:val="none" w:sz="0" w:space="0" w:color="auto"/>
        <w:right w:val="none" w:sz="0" w:space="0" w:color="auto"/>
      </w:divBdr>
    </w:div>
    <w:div w:id="1938709520">
      <w:bodyDiv w:val="1"/>
      <w:marLeft w:val="0"/>
      <w:marRight w:val="0"/>
      <w:marTop w:val="0"/>
      <w:marBottom w:val="0"/>
      <w:divBdr>
        <w:top w:val="none" w:sz="0" w:space="0" w:color="auto"/>
        <w:left w:val="none" w:sz="0" w:space="0" w:color="auto"/>
        <w:bottom w:val="none" w:sz="0" w:space="0" w:color="auto"/>
        <w:right w:val="none" w:sz="0" w:space="0" w:color="auto"/>
      </w:divBdr>
    </w:div>
    <w:div w:id="1967199016">
      <w:bodyDiv w:val="1"/>
      <w:marLeft w:val="0"/>
      <w:marRight w:val="0"/>
      <w:marTop w:val="0"/>
      <w:marBottom w:val="0"/>
      <w:divBdr>
        <w:top w:val="none" w:sz="0" w:space="0" w:color="auto"/>
        <w:left w:val="none" w:sz="0" w:space="0" w:color="auto"/>
        <w:bottom w:val="none" w:sz="0" w:space="0" w:color="auto"/>
        <w:right w:val="none" w:sz="0" w:space="0" w:color="auto"/>
      </w:divBdr>
    </w:div>
    <w:div w:id="1986884206">
      <w:bodyDiv w:val="1"/>
      <w:marLeft w:val="0"/>
      <w:marRight w:val="0"/>
      <w:marTop w:val="0"/>
      <w:marBottom w:val="0"/>
      <w:divBdr>
        <w:top w:val="none" w:sz="0" w:space="0" w:color="auto"/>
        <w:left w:val="none" w:sz="0" w:space="0" w:color="auto"/>
        <w:bottom w:val="none" w:sz="0" w:space="0" w:color="auto"/>
        <w:right w:val="none" w:sz="0" w:space="0" w:color="auto"/>
      </w:divBdr>
    </w:div>
    <w:div w:id="1989086646">
      <w:bodyDiv w:val="1"/>
      <w:marLeft w:val="0"/>
      <w:marRight w:val="0"/>
      <w:marTop w:val="0"/>
      <w:marBottom w:val="0"/>
      <w:divBdr>
        <w:top w:val="none" w:sz="0" w:space="0" w:color="auto"/>
        <w:left w:val="none" w:sz="0" w:space="0" w:color="auto"/>
        <w:bottom w:val="none" w:sz="0" w:space="0" w:color="auto"/>
        <w:right w:val="none" w:sz="0" w:space="0" w:color="auto"/>
      </w:divBdr>
    </w:div>
    <w:div w:id="1999646559">
      <w:bodyDiv w:val="1"/>
      <w:marLeft w:val="0"/>
      <w:marRight w:val="0"/>
      <w:marTop w:val="0"/>
      <w:marBottom w:val="0"/>
      <w:divBdr>
        <w:top w:val="none" w:sz="0" w:space="0" w:color="auto"/>
        <w:left w:val="none" w:sz="0" w:space="0" w:color="auto"/>
        <w:bottom w:val="none" w:sz="0" w:space="0" w:color="auto"/>
        <w:right w:val="none" w:sz="0" w:space="0" w:color="auto"/>
      </w:divBdr>
    </w:div>
    <w:div w:id="2000035722">
      <w:bodyDiv w:val="1"/>
      <w:marLeft w:val="0"/>
      <w:marRight w:val="0"/>
      <w:marTop w:val="0"/>
      <w:marBottom w:val="0"/>
      <w:divBdr>
        <w:top w:val="none" w:sz="0" w:space="0" w:color="auto"/>
        <w:left w:val="none" w:sz="0" w:space="0" w:color="auto"/>
        <w:bottom w:val="none" w:sz="0" w:space="0" w:color="auto"/>
        <w:right w:val="none" w:sz="0" w:space="0" w:color="auto"/>
      </w:divBdr>
    </w:div>
    <w:div w:id="2015644427">
      <w:bodyDiv w:val="1"/>
      <w:marLeft w:val="0"/>
      <w:marRight w:val="0"/>
      <w:marTop w:val="0"/>
      <w:marBottom w:val="0"/>
      <w:divBdr>
        <w:top w:val="none" w:sz="0" w:space="0" w:color="auto"/>
        <w:left w:val="none" w:sz="0" w:space="0" w:color="auto"/>
        <w:bottom w:val="none" w:sz="0" w:space="0" w:color="auto"/>
        <w:right w:val="none" w:sz="0" w:space="0" w:color="auto"/>
      </w:divBdr>
    </w:div>
    <w:div w:id="2040738721">
      <w:bodyDiv w:val="1"/>
      <w:marLeft w:val="0"/>
      <w:marRight w:val="0"/>
      <w:marTop w:val="0"/>
      <w:marBottom w:val="0"/>
      <w:divBdr>
        <w:top w:val="none" w:sz="0" w:space="0" w:color="auto"/>
        <w:left w:val="none" w:sz="0" w:space="0" w:color="auto"/>
        <w:bottom w:val="none" w:sz="0" w:space="0" w:color="auto"/>
        <w:right w:val="none" w:sz="0" w:space="0" w:color="auto"/>
      </w:divBdr>
    </w:div>
    <w:div w:id="2056854998">
      <w:bodyDiv w:val="1"/>
      <w:marLeft w:val="0"/>
      <w:marRight w:val="0"/>
      <w:marTop w:val="0"/>
      <w:marBottom w:val="0"/>
      <w:divBdr>
        <w:top w:val="none" w:sz="0" w:space="0" w:color="auto"/>
        <w:left w:val="none" w:sz="0" w:space="0" w:color="auto"/>
        <w:bottom w:val="none" w:sz="0" w:space="0" w:color="auto"/>
        <w:right w:val="none" w:sz="0" w:space="0" w:color="auto"/>
      </w:divBdr>
    </w:div>
    <w:div w:id="2064211361">
      <w:bodyDiv w:val="1"/>
      <w:marLeft w:val="0"/>
      <w:marRight w:val="0"/>
      <w:marTop w:val="0"/>
      <w:marBottom w:val="0"/>
      <w:divBdr>
        <w:top w:val="none" w:sz="0" w:space="0" w:color="auto"/>
        <w:left w:val="none" w:sz="0" w:space="0" w:color="auto"/>
        <w:bottom w:val="none" w:sz="0" w:space="0" w:color="auto"/>
        <w:right w:val="none" w:sz="0" w:space="0" w:color="auto"/>
      </w:divBdr>
    </w:div>
    <w:div w:id="2075003290">
      <w:bodyDiv w:val="1"/>
      <w:marLeft w:val="0"/>
      <w:marRight w:val="0"/>
      <w:marTop w:val="0"/>
      <w:marBottom w:val="0"/>
      <w:divBdr>
        <w:top w:val="none" w:sz="0" w:space="0" w:color="auto"/>
        <w:left w:val="none" w:sz="0" w:space="0" w:color="auto"/>
        <w:bottom w:val="none" w:sz="0" w:space="0" w:color="auto"/>
        <w:right w:val="none" w:sz="0" w:space="0" w:color="auto"/>
      </w:divBdr>
    </w:div>
    <w:div w:id="2075227691">
      <w:bodyDiv w:val="1"/>
      <w:marLeft w:val="0"/>
      <w:marRight w:val="0"/>
      <w:marTop w:val="0"/>
      <w:marBottom w:val="0"/>
      <w:divBdr>
        <w:top w:val="none" w:sz="0" w:space="0" w:color="auto"/>
        <w:left w:val="none" w:sz="0" w:space="0" w:color="auto"/>
        <w:bottom w:val="none" w:sz="0" w:space="0" w:color="auto"/>
        <w:right w:val="none" w:sz="0" w:space="0" w:color="auto"/>
      </w:divBdr>
    </w:div>
    <w:div w:id="2094548023">
      <w:bodyDiv w:val="1"/>
      <w:marLeft w:val="0"/>
      <w:marRight w:val="0"/>
      <w:marTop w:val="0"/>
      <w:marBottom w:val="0"/>
      <w:divBdr>
        <w:top w:val="none" w:sz="0" w:space="0" w:color="auto"/>
        <w:left w:val="none" w:sz="0" w:space="0" w:color="auto"/>
        <w:bottom w:val="none" w:sz="0" w:space="0" w:color="auto"/>
        <w:right w:val="none" w:sz="0" w:space="0" w:color="auto"/>
      </w:divBdr>
    </w:div>
    <w:div w:id="2102099555">
      <w:bodyDiv w:val="1"/>
      <w:marLeft w:val="0"/>
      <w:marRight w:val="0"/>
      <w:marTop w:val="0"/>
      <w:marBottom w:val="0"/>
      <w:divBdr>
        <w:top w:val="none" w:sz="0" w:space="0" w:color="auto"/>
        <w:left w:val="none" w:sz="0" w:space="0" w:color="auto"/>
        <w:bottom w:val="none" w:sz="0" w:space="0" w:color="auto"/>
        <w:right w:val="none" w:sz="0" w:space="0" w:color="auto"/>
      </w:divBdr>
    </w:div>
    <w:div w:id="2112771414">
      <w:bodyDiv w:val="1"/>
      <w:marLeft w:val="0"/>
      <w:marRight w:val="0"/>
      <w:marTop w:val="0"/>
      <w:marBottom w:val="0"/>
      <w:divBdr>
        <w:top w:val="none" w:sz="0" w:space="0" w:color="auto"/>
        <w:left w:val="none" w:sz="0" w:space="0" w:color="auto"/>
        <w:bottom w:val="none" w:sz="0" w:space="0" w:color="auto"/>
        <w:right w:val="none" w:sz="0" w:space="0" w:color="auto"/>
      </w:divBdr>
    </w:div>
    <w:div w:id="2143689200">
      <w:bodyDiv w:val="1"/>
      <w:marLeft w:val="0"/>
      <w:marRight w:val="0"/>
      <w:marTop w:val="0"/>
      <w:marBottom w:val="0"/>
      <w:divBdr>
        <w:top w:val="none" w:sz="0" w:space="0" w:color="auto"/>
        <w:left w:val="none" w:sz="0" w:space="0" w:color="auto"/>
        <w:bottom w:val="none" w:sz="0" w:space="0" w:color="auto"/>
        <w:right w:val="none" w:sz="0" w:space="0" w:color="auto"/>
      </w:divBdr>
    </w:div>
    <w:div w:id="214561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ula.acuna@humphreys.cl" TargetMode="External"/><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hyperlink" Target="mailto:carlos.garcia@humphreys.cl"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ula.acuna@humphreys.cl" TargetMode="External"/><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humphreysclasificadora-my.sharepoint.com/personal/jose_elespuru_humphreys_cl/Users/Paula%20Acu&#241;a/AppData/Local/AppData/Local/Users/Paula%20Acu&#241;a/AppData/Local/Microsoft/Windows/AppData/Local/Users/Paula%20Acu&#241;a/AppData/Local/AppData/Local/Microsoft/Windows/Temporary%20Internet%20Files/Content.Outlook/An&#225;lisis/Tabla%20evaluaci&#243;n%20Concha%20y%20Toro%202017.xlsx" TargetMode="External"/><Relationship Id="rId23" Type="http://schemas.openxmlformats.org/officeDocument/2006/relationships/chart" Target="charts/chart8.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los.garcia@humphreys.cl" TargetMode="External"/><Relationship Id="rId22" Type="http://schemas.openxmlformats.org/officeDocument/2006/relationships/chart" Target="charts/chart7.xm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Vaccaro\AppData\Local\Microsoft\Windows\INetCache\Content.Outlook\E475JABV\Plantilla%20Informe_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COMERCIAL%20K%20LIMITADA%20(X)/2021%2008%20N/02%20ANALISIS/An&#225;lisis%20Comercial%20K%202021%200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Segmentos!$A$5</c:f>
              <c:strCache>
                <c:ptCount val="1"/>
                <c:pt idx="0">
                  <c:v>Ventas proyecto</c:v>
                </c:pt>
              </c:strCache>
            </c:strRef>
          </c:tx>
          <c:spPr>
            <a:solidFill>
              <a:srgbClr val="333D6B"/>
            </a:solidFill>
            <a:ln>
              <a:solidFill>
                <a:srgbClr val="333D6B"/>
              </a:solidFill>
            </a:ln>
            <a:effectLst/>
          </c:spPr>
          <c:invertIfNegative val="0"/>
          <c:cat>
            <c:numRef>
              <c:f>Segmentos!$B$4:$E$4</c:f>
              <c:numCache>
                <c:formatCode>General</c:formatCode>
                <c:ptCount val="4"/>
                <c:pt idx="0">
                  <c:v>2017</c:v>
                </c:pt>
                <c:pt idx="1">
                  <c:v>2018</c:v>
                </c:pt>
                <c:pt idx="2">
                  <c:v>2019</c:v>
                </c:pt>
                <c:pt idx="3">
                  <c:v>2020</c:v>
                </c:pt>
              </c:numCache>
            </c:numRef>
          </c:cat>
          <c:val>
            <c:numRef>
              <c:f>Segmentos!$B$5:$E$5</c:f>
              <c:numCache>
                <c:formatCode>#,##0</c:formatCode>
                <c:ptCount val="4"/>
                <c:pt idx="0">
                  <c:v>39674904</c:v>
                </c:pt>
                <c:pt idx="1">
                  <c:v>44253297</c:v>
                </c:pt>
                <c:pt idx="2">
                  <c:v>49454631</c:v>
                </c:pt>
                <c:pt idx="3">
                  <c:v>40118420</c:v>
                </c:pt>
              </c:numCache>
            </c:numRef>
          </c:val>
          <c:extLst>
            <c:ext xmlns:c16="http://schemas.microsoft.com/office/drawing/2014/chart" uri="{C3380CC4-5D6E-409C-BE32-E72D297353CC}">
              <c16:uniqueId val="{00000000-22EF-4F3B-911D-066D51B5643D}"/>
            </c:ext>
          </c:extLst>
        </c:ser>
        <c:ser>
          <c:idx val="1"/>
          <c:order val="1"/>
          <c:tx>
            <c:strRef>
              <c:f>Segmentos!$A$6</c:f>
              <c:strCache>
                <c:ptCount val="1"/>
                <c:pt idx="0">
                  <c:v>Ventas retail</c:v>
                </c:pt>
              </c:strCache>
            </c:strRef>
          </c:tx>
          <c:spPr>
            <a:solidFill>
              <a:srgbClr val="878787"/>
            </a:solidFill>
            <a:ln>
              <a:solidFill>
                <a:srgbClr val="878787"/>
              </a:solidFill>
            </a:ln>
            <a:effectLst/>
          </c:spPr>
          <c:invertIfNegative val="0"/>
          <c:cat>
            <c:numRef>
              <c:f>Segmentos!$B$4:$E$4</c:f>
              <c:numCache>
                <c:formatCode>General</c:formatCode>
                <c:ptCount val="4"/>
                <c:pt idx="0">
                  <c:v>2017</c:v>
                </c:pt>
                <c:pt idx="1">
                  <c:v>2018</c:v>
                </c:pt>
                <c:pt idx="2">
                  <c:v>2019</c:v>
                </c:pt>
                <c:pt idx="3">
                  <c:v>2020</c:v>
                </c:pt>
              </c:numCache>
            </c:numRef>
          </c:cat>
          <c:val>
            <c:numRef>
              <c:f>Segmentos!$B$6:$E$6</c:f>
              <c:numCache>
                <c:formatCode>#,##0</c:formatCode>
                <c:ptCount val="4"/>
                <c:pt idx="0">
                  <c:v>19429467</c:v>
                </c:pt>
                <c:pt idx="1">
                  <c:v>23485017</c:v>
                </c:pt>
                <c:pt idx="2">
                  <c:v>28753311</c:v>
                </c:pt>
                <c:pt idx="3">
                  <c:v>34154061</c:v>
                </c:pt>
              </c:numCache>
            </c:numRef>
          </c:val>
          <c:extLst>
            <c:ext xmlns:c16="http://schemas.microsoft.com/office/drawing/2014/chart" uri="{C3380CC4-5D6E-409C-BE32-E72D297353CC}">
              <c16:uniqueId val="{00000001-22EF-4F3B-911D-066D51B5643D}"/>
            </c:ext>
          </c:extLst>
        </c:ser>
        <c:ser>
          <c:idx val="2"/>
          <c:order val="2"/>
          <c:tx>
            <c:strRef>
              <c:f>Segmentos!$A$7</c:f>
              <c:strCache>
                <c:ptCount val="1"/>
                <c:pt idx="0">
                  <c:v>Ventas distribución</c:v>
                </c:pt>
              </c:strCache>
            </c:strRef>
          </c:tx>
          <c:spPr>
            <a:solidFill>
              <a:srgbClr val="AE1619"/>
            </a:solidFill>
            <a:ln>
              <a:solidFill>
                <a:srgbClr val="AE1619"/>
              </a:solidFill>
            </a:ln>
            <a:effectLst/>
          </c:spPr>
          <c:invertIfNegative val="0"/>
          <c:cat>
            <c:numRef>
              <c:f>Segmentos!$B$4:$E$4</c:f>
              <c:numCache>
                <c:formatCode>General</c:formatCode>
                <c:ptCount val="4"/>
                <c:pt idx="0">
                  <c:v>2017</c:v>
                </c:pt>
                <c:pt idx="1">
                  <c:v>2018</c:v>
                </c:pt>
                <c:pt idx="2">
                  <c:v>2019</c:v>
                </c:pt>
                <c:pt idx="3">
                  <c:v>2020</c:v>
                </c:pt>
              </c:numCache>
            </c:numRef>
          </c:cat>
          <c:val>
            <c:numRef>
              <c:f>Segmentos!$B$7:$E$7</c:f>
              <c:numCache>
                <c:formatCode>#,##0</c:formatCode>
                <c:ptCount val="4"/>
                <c:pt idx="0">
                  <c:v>6776054</c:v>
                </c:pt>
                <c:pt idx="1">
                  <c:v>7968974</c:v>
                </c:pt>
                <c:pt idx="2">
                  <c:v>8784304</c:v>
                </c:pt>
                <c:pt idx="3">
                  <c:v>15164574</c:v>
                </c:pt>
              </c:numCache>
            </c:numRef>
          </c:val>
          <c:extLst>
            <c:ext xmlns:c16="http://schemas.microsoft.com/office/drawing/2014/chart" uri="{C3380CC4-5D6E-409C-BE32-E72D297353CC}">
              <c16:uniqueId val="{00000002-22EF-4F3B-911D-066D51B5643D}"/>
            </c:ext>
          </c:extLst>
        </c:ser>
        <c:ser>
          <c:idx val="3"/>
          <c:order val="3"/>
          <c:tx>
            <c:strRef>
              <c:f>Segmentos!$A$8</c:f>
              <c:strCache>
                <c:ptCount val="1"/>
                <c:pt idx="0">
                  <c:v>Otros</c:v>
                </c:pt>
              </c:strCache>
            </c:strRef>
          </c:tx>
          <c:spPr>
            <a:solidFill>
              <a:schemeClr val="accent4"/>
            </a:solidFill>
            <a:ln>
              <a:noFill/>
            </a:ln>
            <a:effectLst/>
          </c:spPr>
          <c:invertIfNegative val="0"/>
          <c:cat>
            <c:numRef>
              <c:f>Segmentos!$B$4:$E$4</c:f>
              <c:numCache>
                <c:formatCode>General</c:formatCode>
                <c:ptCount val="4"/>
                <c:pt idx="0">
                  <c:v>2017</c:v>
                </c:pt>
                <c:pt idx="1">
                  <c:v>2018</c:v>
                </c:pt>
                <c:pt idx="2">
                  <c:v>2019</c:v>
                </c:pt>
                <c:pt idx="3">
                  <c:v>2020</c:v>
                </c:pt>
              </c:numCache>
            </c:numRef>
          </c:cat>
          <c:val>
            <c:numRef>
              <c:f>Segmentos!$B$8:$E$8</c:f>
              <c:numCache>
                <c:formatCode>#,##0</c:formatCode>
                <c:ptCount val="4"/>
                <c:pt idx="0">
                  <c:v>171468</c:v>
                </c:pt>
                <c:pt idx="1">
                  <c:v>150165</c:v>
                </c:pt>
                <c:pt idx="2">
                  <c:v>201133</c:v>
                </c:pt>
                <c:pt idx="3">
                  <c:v>205133</c:v>
                </c:pt>
              </c:numCache>
            </c:numRef>
          </c:val>
          <c:extLst>
            <c:ext xmlns:c16="http://schemas.microsoft.com/office/drawing/2014/chart" uri="{C3380CC4-5D6E-409C-BE32-E72D297353CC}">
              <c16:uniqueId val="{00000003-22EF-4F3B-911D-066D51B5643D}"/>
            </c:ext>
          </c:extLst>
        </c:ser>
        <c:dLbls>
          <c:showLegendKey val="0"/>
          <c:showVal val="0"/>
          <c:showCatName val="0"/>
          <c:showSerName val="0"/>
          <c:showPercent val="0"/>
          <c:showBubbleSize val="0"/>
        </c:dLbls>
        <c:gapWidth val="150"/>
        <c:overlap val="100"/>
        <c:axId val="505399024"/>
        <c:axId val="505410256"/>
      </c:barChart>
      <c:catAx>
        <c:axId val="5053990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505410256"/>
        <c:crosses val="autoZero"/>
        <c:auto val="1"/>
        <c:lblAlgn val="ctr"/>
        <c:lblOffset val="100"/>
        <c:noMultiLvlLbl val="0"/>
      </c:catAx>
      <c:valAx>
        <c:axId val="50541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r>
                  <a:rPr lang="es-CL" b="0"/>
                  <a:t>M $</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505399024"/>
        <c:crosses val="autoZero"/>
        <c:crossBetween val="between"/>
      </c:valAx>
      <c:spPr>
        <a:noFill/>
        <a:ln>
          <a:noFill/>
        </a:ln>
        <a:effectLst/>
      </c:spPr>
    </c:plotArea>
    <c:legend>
      <c:legendPos val="r"/>
      <c:layout>
        <c:manualLayout>
          <c:xMode val="edge"/>
          <c:yMode val="edge"/>
          <c:x val="0.7873149158063022"/>
          <c:y val="1.8614187884336535E-2"/>
          <c:w val="0.19954120535692052"/>
          <c:h val="0.69102313744670518"/>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284675"/>
          </a:solidFill>
          <a:latin typeface="Myriad Pro" panose="020B0503030403020204" pitchFamily="34" charset="0"/>
        </a:defRPr>
      </a:pPr>
      <a:endParaRPr lang="es-C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'Gráficos informe'!$A$119</c:f>
              <c:strCache>
                <c:ptCount val="1"/>
                <c:pt idx="0">
                  <c:v>Rentabilidad total del Activo MK</c:v>
                </c:pt>
              </c:strCache>
            </c:strRef>
          </c:tx>
          <c:spPr>
            <a:ln w="28575" cap="rnd">
              <a:solidFill>
                <a:srgbClr val="284675"/>
              </a:solidFill>
              <a:round/>
            </a:ln>
            <a:effectLst/>
          </c:spPr>
          <c:marker>
            <c:symbol val="none"/>
          </c:marker>
          <c:cat>
            <c:numRef>
              <c:f>'Gráficos informe'!$B$26:$G$26</c:f>
              <c:numCache>
                <c:formatCode>General</c:formatCode>
                <c:ptCount val="6"/>
                <c:pt idx="0">
                  <c:v>2016</c:v>
                </c:pt>
                <c:pt idx="1">
                  <c:v>2017</c:v>
                </c:pt>
                <c:pt idx="2">
                  <c:v>2018</c:v>
                </c:pt>
                <c:pt idx="3">
                  <c:v>2019</c:v>
                </c:pt>
                <c:pt idx="4">
                  <c:v>2020</c:v>
                </c:pt>
                <c:pt idx="5" formatCode="mmm\-yy">
                  <c:v>44348</c:v>
                </c:pt>
              </c:numCache>
            </c:numRef>
          </c:cat>
          <c:val>
            <c:numRef>
              <c:f>'Gráficos informe'!$B$119:$G$119</c:f>
              <c:numCache>
                <c:formatCode>0.0%</c:formatCode>
                <c:ptCount val="6"/>
                <c:pt idx="0">
                  <c:v>0.12457883179445085</c:v>
                </c:pt>
                <c:pt idx="1">
                  <c:v>5.1554992482633254E-2</c:v>
                </c:pt>
                <c:pt idx="2">
                  <c:v>3.6121714555621555E-2</c:v>
                </c:pt>
                <c:pt idx="3">
                  <c:v>2.0136264573978237E-2</c:v>
                </c:pt>
                <c:pt idx="4">
                  <c:v>3.7757410565223991E-2</c:v>
                </c:pt>
                <c:pt idx="5">
                  <c:v>0.13618558066324243</c:v>
                </c:pt>
              </c:numCache>
            </c:numRef>
          </c:val>
          <c:smooth val="0"/>
          <c:extLst>
            <c:ext xmlns:c16="http://schemas.microsoft.com/office/drawing/2014/chart" uri="{C3380CC4-5D6E-409C-BE32-E72D297353CC}">
              <c16:uniqueId val="{00000000-D90F-45A0-B0B1-87703BFC4FC2}"/>
            </c:ext>
          </c:extLst>
        </c:ser>
        <c:ser>
          <c:idx val="1"/>
          <c:order val="1"/>
          <c:tx>
            <c:strRef>
              <c:f>'Gráficos informe'!$A$120</c:f>
              <c:strCache>
                <c:ptCount val="1"/>
                <c:pt idx="0">
                  <c:v>Rentabilidad sobre Patrimonio MK</c:v>
                </c:pt>
              </c:strCache>
            </c:strRef>
          </c:tx>
          <c:spPr>
            <a:ln w="28575" cap="rnd">
              <a:solidFill>
                <a:srgbClr val="AE1619"/>
              </a:solidFill>
              <a:round/>
            </a:ln>
            <a:effectLst/>
          </c:spPr>
          <c:marker>
            <c:symbol val="none"/>
          </c:marker>
          <c:cat>
            <c:numRef>
              <c:f>'Gráficos informe'!$B$26:$G$26</c:f>
              <c:numCache>
                <c:formatCode>General</c:formatCode>
                <c:ptCount val="6"/>
                <c:pt idx="0">
                  <c:v>2016</c:v>
                </c:pt>
                <c:pt idx="1">
                  <c:v>2017</c:v>
                </c:pt>
                <c:pt idx="2">
                  <c:v>2018</c:v>
                </c:pt>
                <c:pt idx="3">
                  <c:v>2019</c:v>
                </c:pt>
                <c:pt idx="4">
                  <c:v>2020</c:v>
                </c:pt>
                <c:pt idx="5" formatCode="mmm\-yy">
                  <c:v>44348</c:v>
                </c:pt>
              </c:numCache>
            </c:numRef>
          </c:cat>
          <c:val>
            <c:numRef>
              <c:f>'Gráficos informe'!$B$120:$G$120</c:f>
              <c:numCache>
                <c:formatCode>0.0%</c:formatCode>
                <c:ptCount val="6"/>
                <c:pt idx="0">
                  <c:v>0.33179375074998302</c:v>
                </c:pt>
                <c:pt idx="1">
                  <c:v>0.13759455448991847</c:v>
                </c:pt>
                <c:pt idx="2">
                  <c:v>9.7766891429933431E-2</c:v>
                </c:pt>
                <c:pt idx="3">
                  <c:v>7.6381292380205357E-2</c:v>
                </c:pt>
                <c:pt idx="4">
                  <c:v>0.18955947086691838</c:v>
                </c:pt>
                <c:pt idx="5">
                  <c:v>0.73758573777313241</c:v>
                </c:pt>
              </c:numCache>
            </c:numRef>
          </c:val>
          <c:smooth val="0"/>
          <c:extLst>
            <c:ext xmlns:c16="http://schemas.microsoft.com/office/drawing/2014/chart" uri="{C3380CC4-5D6E-409C-BE32-E72D297353CC}">
              <c16:uniqueId val="{00000001-D90F-45A0-B0B1-87703BFC4FC2}"/>
            </c:ext>
          </c:extLst>
        </c:ser>
        <c:dLbls>
          <c:showLegendKey val="0"/>
          <c:showVal val="0"/>
          <c:showCatName val="0"/>
          <c:showSerName val="0"/>
          <c:showPercent val="0"/>
          <c:showBubbleSize val="0"/>
        </c:dLbls>
        <c:smooth val="0"/>
        <c:axId val="445303967"/>
        <c:axId val="445298559"/>
      </c:lineChart>
      <c:catAx>
        <c:axId val="44530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445298559"/>
        <c:crosses val="autoZero"/>
        <c:auto val="1"/>
        <c:lblAlgn val="ctr"/>
        <c:lblOffset val="100"/>
        <c:noMultiLvlLbl val="0"/>
      </c:catAx>
      <c:valAx>
        <c:axId val="445298559"/>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445303967"/>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284675"/>
          </a:solidFill>
          <a:latin typeface="Myriad Pro" panose="020B0503030403020204" pitchFamily="34" charset="0"/>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Segmentos!$A$62</c:f>
              <c:strCache>
                <c:ptCount val="1"/>
                <c:pt idx="0">
                  <c:v>Proyectos</c:v>
                </c:pt>
              </c:strCache>
            </c:strRef>
          </c:tx>
          <c:spPr>
            <a:solidFill>
              <a:srgbClr val="284675"/>
            </a:solidFill>
            <a:ln>
              <a:noFill/>
            </a:ln>
            <a:effectLst/>
          </c:spPr>
          <c:invertIfNegative val="0"/>
          <c:cat>
            <c:numRef>
              <c:f>Segmentos!$B$61:$F$61</c:f>
              <c:numCache>
                <c:formatCode>General</c:formatCode>
                <c:ptCount val="5"/>
                <c:pt idx="0">
                  <c:v>2017</c:v>
                </c:pt>
                <c:pt idx="1">
                  <c:v>2018</c:v>
                </c:pt>
                <c:pt idx="2">
                  <c:v>2019</c:v>
                </c:pt>
                <c:pt idx="3">
                  <c:v>2020</c:v>
                </c:pt>
                <c:pt idx="4">
                  <c:v>2021</c:v>
                </c:pt>
              </c:numCache>
            </c:numRef>
          </c:cat>
          <c:val>
            <c:numRef>
              <c:f>Segmentos!$B$62:$F$62</c:f>
              <c:numCache>
                <c:formatCode>#,##0</c:formatCode>
                <c:ptCount val="5"/>
                <c:pt idx="0">
                  <c:v>500023.02345997241</c:v>
                </c:pt>
                <c:pt idx="1">
                  <c:v>3095207.6735103247</c:v>
                </c:pt>
                <c:pt idx="2">
                  <c:v>2812236.8562479555</c:v>
                </c:pt>
                <c:pt idx="3">
                  <c:v>2716794.5055834274</c:v>
                </c:pt>
                <c:pt idx="4">
                  <c:v>2040597.0517061024</c:v>
                </c:pt>
              </c:numCache>
            </c:numRef>
          </c:val>
          <c:extLst>
            <c:ext xmlns:c16="http://schemas.microsoft.com/office/drawing/2014/chart" uri="{C3380CC4-5D6E-409C-BE32-E72D297353CC}">
              <c16:uniqueId val="{00000000-8F07-4F23-975D-C623F8D4A8EE}"/>
            </c:ext>
          </c:extLst>
        </c:ser>
        <c:ser>
          <c:idx val="1"/>
          <c:order val="1"/>
          <c:tx>
            <c:strRef>
              <c:f>Segmentos!$A$63</c:f>
              <c:strCache>
                <c:ptCount val="1"/>
                <c:pt idx="0">
                  <c:v>Retail</c:v>
                </c:pt>
              </c:strCache>
            </c:strRef>
          </c:tx>
          <c:spPr>
            <a:solidFill>
              <a:srgbClr val="878787"/>
            </a:solidFill>
            <a:ln>
              <a:noFill/>
            </a:ln>
            <a:effectLst/>
          </c:spPr>
          <c:invertIfNegative val="0"/>
          <c:cat>
            <c:numRef>
              <c:f>Segmentos!$B$61:$F$61</c:f>
              <c:numCache>
                <c:formatCode>General</c:formatCode>
                <c:ptCount val="5"/>
                <c:pt idx="0">
                  <c:v>2017</c:v>
                </c:pt>
                <c:pt idx="1">
                  <c:v>2018</c:v>
                </c:pt>
                <c:pt idx="2">
                  <c:v>2019</c:v>
                </c:pt>
                <c:pt idx="3">
                  <c:v>2020</c:v>
                </c:pt>
                <c:pt idx="4">
                  <c:v>2021</c:v>
                </c:pt>
              </c:numCache>
            </c:numRef>
          </c:cat>
          <c:val>
            <c:numRef>
              <c:f>Segmentos!$B$63:$F$63</c:f>
              <c:numCache>
                <c:formatCode>#,##0</c:formatCode>
                <c:ptCount val="5"/>
                <c:pt idx="0">
                  <c:v>2405271.9522328512</c:v>
                </c:pt>
                <c:pt idx="1">
                  <c:v>3676145.8809313211</c:v>
                </c:pt>
                <c:pt idx="2">
                  <c:v>3464464.860192785</c:v>
                </c:pt>
                <c:pt idx="3">
                  <c:v>5068056.0631738277</c:v>
                </c:pt>
                <c:pt idx="4">
                  <c:v>7215040.1901756655</c:v>
                </c:pt>
              </c:numCache>
            </c:numRef>
          </c:val>
          <c:extLst>
            <c:ext xmlns:c16="http://schemas.microsoft.com/office/drawing/2014/chart" uri="{C3380CC4-5D6E-409C-BE32-E72D297353CC}">
              <c16:uniqueId val="{00000001-8F07-4F23-975D-C623F8D4A8EE}"/>
            </c:ext>
          </c:extLst>
        </c:ser>
        <c:ser>
          <c:idx val="2"/>
          <c:order val="2"/>
          <c:tx>
            <c:strRef>
              <c:f>Segmentos!$A$64</c:f>
              <c:strCache>
                <c:ptCount val="1"/>
                <c:pt idx="0">
                  <c:v>Distribución</c:v>
                </c:pt>
              </c:strCache>
            </c:strRef>
          </c:tx>
          <c:spPr>
            <a:solidFill>
              <a:srgbClr val="AE1619"/>
            </a:solidFill>
            <a:ln>
              <a:noFill/>
            </a:ln>
            <a:effectLst/>
          </c:spPr>
          <c:invertIfNegative val="0"/>
          <c:cat>
            <c:numRef>
              <c:f>Segmentos!$B$61:$F$61</c:f>
              <c:numCache>
                <c:formatCode>General</c:formatCode>
                <c:ptCount val="5"/>
                <c:pt idx="0">
                  <c:v>2017</c:v>
                </c:pt>
                <c:pt idx="1">
                  <c:v>2018</c:v>
                </c:pt>
                <c:pt idx="2">
                  <c:v>2019</c:v>
                </c:pt>
                <c:pt idx="3">
                  <c:v>2020</c:v>
                </c:pt>
                <c:pt idx="4">
                  <c:v>2021</c:v>
                </c:pt>
              </c:numCache>
            </c:numRef>
          </c:cat>
          <c:val>
            <c:numRef>
              <c:f>Segmentos!$B$64:$F$64</c:f>
              <c:numCache>
                <c:formatCode>#,##0</c:formatCode>
                <c:ptCount val="5"/>
                <c:pt idx="0">
                  <c:v>-109379.47969282245</c:v>
                </c:pt>
                <c:pt idx="1">
                  <c:v>536916.68155835441</c:v>
                </c:pt>
                <c:pt idx="2">
                  <c:v>186887.23155925798</c:v>
                </c:pt>
                <c:pt idx="3">
                  <c:v>1134341.6352427443</c:v>
                </c:pt>
                <c:pt idx="4">
                  <c:v>2830464.049118232</c:v>
                </c:pt>
              </c:numCache>
            </c:numRef>
          </c:val>
          <c:extLst>
            <c:ext xmlns:c16="http://schemas.microsoft.com/office/drawing/2014/chart" uri="{C3380CC4-5D6E-409C-BE32-E72D297353CC}">
              <c16:uniqueId val="{00000002-8F07-4F23-975D-C623F8D4A8EE}"/>
            </c:ext>
          </c:extLst>
        </c:ser>
        <c:dLbls>
          <c:showLegendKey val="0"/>
          <c:showVal val="0"/>
          <c:showCatName val="0"/>
          <c:showSerName val="0"/>
          <c:showPercent val="0"/>
          <c:showBubbleSize val="0"/>
        </c:dLbls>
        <c:gapWidth val="150"/>
        <c:overlap val="100"/>
        <c:axId val="1637024175"/>
        <c:axId val="1637023343"/>
      </c:barChart>
      <c:catAx>
        <c:axId val="163702417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637023343"/>
        <c:crosses val="autoZero"/>
        <c:auto val="1"/>
        <c:lblAlgn val="ctr"/>
        <c:lblOffset val="100"/>
        <c:noMultiLvlLbl val="0"/>
      </c:catAx>
      <c:valAx>
        <c:axId val="1637023343"/>
        <c:scaling>
          <c:orientation val="minMax"/>
          <c:min val="-5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r>
                  <a:rPr lang="es-CL" b="0"/>
                  <a:t>M $</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637024175"/>
        <c:crosses val="autoZero"/>
        <c:crossBetween val="between"/>
      </c:valAx>
      <c:spPr>
        <a:noFill/>
        <a:ln>
          <a:noFill/>
        </a:ln>
        <a:effectLst/>
      </c:spPr>
    </c:plotArea>
    <c:legend>
      <c:legendPos val="r"/>
      <c:layout>
        <c:manualLayout>
          <c:xMode val="edge"/>
          <c:yMode val="edge"/>
          <c:x val="0.82907851549871503"/>
          <c:y val="0.17252577829858259"/>
          <c:w val="0.15422002312341437"/>
          <c:h val="0.6375473425650978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aseline="0">
          <a:solidFill>
            <a:srgbClr val="284675"/>
          </a:solidFill>
          <a:latin typeface="Myriad Pro" panose="020B0503030403020204" pitchFamily="34" charset="0"/>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Segmentos!$A$155</c:f>
              <c:strCache>
                <c:ptCount val="1"/>
                <c:pt idx="0">
                  <c:v>Ingresos</c:v>
                </c:pt>
              </c:strCache>
            </c:strRef>
          </c:tx>
          <c:spPr>
            <a:solidFill>
              <a:srgbClr val="284675"/>
            </a:solidFill>
            <a:ln>
              <a:noFill/>
            </a:ln>
            <a:effectLst/>
          </c:spPr>
          <c:invertIfNegative val="0"/>
          <c:cat>
            <c:numRef>
              <c:f>Segmentos!$B$154:$E$154</c:f>
              <c:numCache>
                <c:formatCode>General</c:formatCode>
                <c:ptCount val="4"/>
                <c:pt idx="0">
                  <c:v>2017</c:v>
                </c:pt>
                <c:pt idx="1">
                  <c:v>2018</c:v>
                </c:pt>
                <c:pt idx="2">
                  <c:v>2019</c:v>
                </c:pt>
                <c:pt idx="3">
                  <c:v>2020</c:v>
                </c:pt>
              </c:numCache>
            </c:numRef>
          </c:cat>
          <c:val>
            <c:numRef>
              <c:f>Segmentos!$B$155:$E$155</c:f>
              <c:numCache>
                <c:formatCode>#,##0</c:formatCode>
                <c:ptCount val="4"/>
                <c:pt idx="0">
                  <c:v>39674904</c:v>
                </c:pt>
                <c:pt idx="1">
                  <c:v>44253297</c:v>
                </c:pt>
                <c:pt idx="2">
                  <c:v>49454631</c:v>
                </c:pt>
                <c:pt idx="3">
                  <c:v>40118420</c:v>
                </c:pt>
              </c:numCache>
            </c:numRef>
          </c:val>
          <c:extLst>
            <c:ext xmlns:c16="http://schemas.microsoft.com/office/drawing/2014/chart" uri="{C3380CC4-5D6E-409C-BE32-E72D297353CC}">
              <c16:uniqueId val="{00000000-476E-4D77-BC81-657F0CE60A46}"/>
            </c:ext>
          </c:extLst>
        </c:ser>
        <c:ser>
          <c:idx val="1"/>
          <c:order val="1"/>
          <c:tx>
            <c:strRef>
              <c:f>Segmentos!$A$156</c:f>
              <c:strCache>
                <c:ptCount val="1"/>
                <c:pt idx="0">
                  <c:v>EBITDA</c:v>
                </c:pt>
              </c:strCache>
            </c:strRef>
          </c:tx>
          <c:spPr>
            <a:solidFill>
              <a:srgbClr val="878787"/>
            </a:solidFill>
            <a:ln>
              <a:noFill/>
            </a:ln>
            <a:effectLst/>
          </c:spPr>
          <c:invertIfNegative val="0"/>
          <c:cat>
            <c:numRef>
              <c:f>Segmentos!$B$154:$E$154</c:f>
              <c:numCache>
                <c:formatCode>General</c:formatCode>
                <c:ptCount val="4"/>
                <c:pt idx="0">
                  <c:v>2017</c:v>
                </c:pt>
                <c:pt idx="1">
                  <c:v>2018</c:v>
                </c:pt>
                <c:pt idx="2">
                  <c:v>2019</c:v>
                </c:pt>
                <c:pt idx="3">
                  <c:v>2020</c:v>
                </c:pt>
              </c:numCache>
            </c:numRef>
          </c:cat>
          <c:val>
            <c:numRef>
              <c:f>Segmentos!$B$156:$E$156</c:f>
              <c:numCache>
                <c:formatCode>#,##0</c:formatCode>
                <c:ptCount val="4"/>
                <c:pt idx="0">
                  <c:v>500023.02345997241</c:v>
                </c:pt>
                <c:pt idx="1">
                  <c:v>3095207.6735103247</c:v>
                </c:pt>
                <c:pt idx="2">
                  <c:v>2812236.8562479555</c:v>
                </c:pt>
                <c:pt idx="3">
                  <c:v>2716794.5055834274</c:v>
                </c:pt>
              </c:numCache>
            </c:numRef>
          </c:val>
          <c:extLst>
            <c:ext xmlns:c16="http://schemas.microsoft.com/office/drawing/2014/chart" uri="{C3380CC4-5D6E-409C-BE32-E72D297353CC}">
              <c16:uniqueId val="{00000001-476E-4D77-BC81-657F0CE60A46}"/>
            </c:ext>
          </c:extLst>
        </c:ser>
        <c:dLbls>
          <c:showLegendKey val="0"/>
          <c:showVal val="0"/>
          <c:showCatName val="0"/>
          <c:showSerName val="0"/>
          <c:showPercent val="0"/>
          <c:showBubbleSize val="0"/>
        </c:dLbls>
        <c:gapWidth val="219"/>
        <c:overlap val="-27"/>
        <c:axId val="1373159055"/>
        <c:axId val="1373152399"/>
      </c:barChart>
      <c:lineChart>
        <c:grouping val="standard"/>
        <c:varyColors val="0"/>
        <c:ser>
          <c:idx val="2"/>
          <c:order val="2"/>
          <c:tx>
            <c:strRef>
              <c:f>Segmentos!$A$157</c:f>
              <c:strCache>
                <c:ptCount val="1"/>
                <c:pt idx="0">
                  <c:v>Margen EBITDA</c:v>
                </c:pt>
              </c:strCache>
            </c:strRef>
          </c:tx>
          <c:spPr>
            <a:ln w="28575" cap="rnd">
              <a:solidFill>
                <a:srgbClr val="AE1619"/>
              </a:solidFill>
              <a:round/>
            </a:ln>
            <a:effectLst/>
          </c:spPr>
          <c:marker>
            <c:symbol val="none"/>
          </c:marker>
          <c:cat>
            <c:numRef>
              <c:f>Segmentos!$B$154:$E$154</c:f>
              <c:numCache>
                <c:formatCode>General</c:formatCode>
                <c:ptCount val="4"/>
                <c:pt idx="0">
                  <c:v>2017</c:v>
                </c:pt>
                <c:pt idx="1">
                  <c:v>2018</c:v>
                </c:pt>
                <c:pt idx="2">
                  <c:v>2019</c:v>
                </c:pt>
                <c:pt idx="3">
                  <c:v>2020</c:v>
                </c:pt>
              </c:numCache>
            </c:numRef>
          </c:cat>
          <c:val>
            <c:numRef>
              <c:f>Segmentos!$B$157:$E$157</c:f>
              <c:numCache>
                <c:formatCode>0.0%</c:formatCode>
                <c:ptCount val="4"/>
                <c:pt idx="0">
                  <c:v>1.2603005251379371E-2</c:v>
                </c:pt>
                <c:pt idx="1">
                  <c:v>6.994298466643796E-2</c:v>
                </c:pt>
                <c:pt idx="2">
                  <c:v>5.6864985126427403E-2</c:v>
                </c:pt>
                <c:pt idx="3">
                  <c:v>6.7719379416822184E-2</c:v>
                </c:pt>
              </c:numCache>
            </c:numRef>
          </c:val>
          <c:smooth val="0"/>
          <c:extLst>
            <c:ext xmlns:c16="http://schemas.microsoft.com/office/drawing/2014/chart" uri="{C3380CC4-5D6E-409C-BE32-E72D297353CC}">
              <c16:uniqueId val="{00000002-476E-4D77-BC81-657F0CE60A46}"/>
            </c:ext>
          </c:extLst>
        </c:ser>
        <c:dLbls>
          <c:showLegendKey val="0"/>
          <c:showVal val="0"/>
          <c:showCatName val="0"/>
          <c:showSerName val="0"/>
          <c:showPercent val="0"/>
          <c:showBubbleSize val="0"/>
        </c:dLbls>
        <c:marker val="1"/>
        <c:smooth val="0"/>
        <c:axId val="1449670303"/>
        <c:axId val="1373156975"/>
      </c:lineChart>
      <c:catAx>
        <c:axId val="137315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373152399"/>
        <c:crosses val="autoZero"/>
        <c:auto val="1"/>
        <c:lblAlgn val="ctr"/>
        <c:lblOffset val="100"/>
        <c:noMultiLvlLbl val="0"/>
      </c:catAx>
      <c:valAx>
        <c:axId val="1373152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r>
                  <a:rPr lang="es-CL" b="0"/>
                  <a:t>M $</a:t>
                </a:r>
              </a:p>
            </c:rich>
          </c:tx>
          <c:layout>
            <c:manualLayout>
              <c:xMode val="edge"/>
              <c:yMode val="edge"/>
              <c:x val="1.0884353741496598E-2"/>
              <c:y val="0.4143599533831395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373159055"/>
        <c:crosses val="autoZero"/>
        <c:crossBetween val="between"/>
      </c:valAx>
      <c:valAx>
        <c:axId val="1373156975"/>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449670303"/>
        <c:crosses val="max"/>
        <c:crossBetween val="between"/>
      </c:valAx>
      <c:catAx>
        <c:axId val="1449670303"/>
        <c:scaling>
          <c:orientation val="minMax"/>
        </c:scaling>
        <c:delete val="1"/>
        <c:axPos val="b"/>
        <c:numFmt formatCode="General" sourceLinked="1"/>
        <c:majorTickMark val="none"/>
        <c:minorTickMark val="none"/>
        <c:tickLblPos val="nextTo"/>
        <c:crossAx val="1373156975"/>
        <c:crosses val="autoZero"/>
        <c:auto val="1"/>
        <c:lblAlgn val="ctr"/>
        <c:lblOffset val="100"/>
        <c:noMultiLvlLbl val="0"/>
      </c:catAx>
      <c:spPr>
        <a:noFill/>
        <a:ln>
          <a:noFill/>
        </a:ln>
        <a:effectLst/>
      </c:spPr>
    </c:plotArea>
    <c:legend>
      <c:legendPos val="b"/>
      <c:layout>
        <c:manualLayout>
          <c:xMode val="edge"/>
          <c:yMode val="edge"/>
          <c:x val="0.21191751031121109"/>
          <c:y val="0.89996438989824146"/>
          <c:w val="0.60844985971581134"/>
          <c:h val="9.1758974397175272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legend>
    <c:plotVisOnly val="1"/>
    <c:dispBlanksAs val="gap"/>
    <c:showDLblsOverMax val="0"/>
  </c:chart>
  <c:spPr>
    <a:solidFill>
      <a:schemeClr val="bg1"/>
    </a:solidFill>
    <a:ln w="9525" cap="flat" cmpd="sng" algn="ctr">
      <a:noFill/>
      <a:round/>
    </a:ln>
    <a:effectLst/>
  </c:spPr>
  <c:txPr>
    <a:bodyPr/>
    <a:lstStyle/>
    <a:p>
      <a:pPr>
        <a:defRPr sz="800">
          <a:solidFill>
            <a:srgbClr val="284675"/>
          </a:solidFill>
          <a:latin typeface="Myriad Pro" panose="020B0503030403020204" pitchFamily="34" charset="0"/>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Segmentos!$A$163</c:f>
              <c:strCache>
                <c:ptCount val="1"/>
                <c:pt idx="0">
                  <c:v>Ingresos</c:v>
                </c:pt>
              </c:strCache>
            </c:strRef>
          </c:tx>
          <c:spPr>
            <a:solidFill>
              <a:srgbClr val="284675"/>
            </a:solidFill>
            <a:ln>
              <a:noFill/>
            </a:ln>
            <a:effectLst/>
          </c:spPr>
          <c:invertIfNegative val="0"/>
          <c:cat>
            <c:numRef>
              <c:f>Segmentos!$B$154:$E$154</c:f>
              <c:numCache>
                <c:formatCode>General</c:formatCode>
                <c:ptCount val="4"/>
                <c:pt idx="0">
                  <c:v>2017</c:v>
                </c:pt>
                <c:pt idx="1">
                  <c:v>2018</c:v>
                </c:pt>
                <c:pt idx="2">
                  <c:v>2019</c:v>
                </c:pt>
                <c:pt idx="3">
                  <c:v>2020</c:v>
                </c:pt>
              </c:numCache>
            </c:numRef>
          </c:cat>
          <c:val>
            <c:numRef>
              <c:f>Segmentos!$B$163:$E$163</c:f>
              <c:numCache>
                <c:formatCode>#,##0</c:formatCode>
                <c:ptCount val="4"/>
                <c:pt idx="0">
                  <c:v>19429467</c:v>
                </c:pt>
                <c:pt idx="1">
                  <c:v>23485017</c:v>
                </c:pt>
                <c:pt idx="2">
                  <c:v>28753311</c:v>
                </c:pt>
                <c:pt idx="3">
                  <c:v>34154061</c:v>
                </c:pt>
              </c:numCache>
            </c:numRef>
          </c:val>
          <c:extLst>
            <c:ext xmlns:c16="http://schemas.microsoft.com/office/drawing/2014/chart" uri="{C3380CC4-5D6E-409C-BE32-E72D297353CC}">
              <c16:uniqueId val="{00000000-2F41-46BA-9F45-3752C07B5D80}"/>
            </c:ext>
          </c:extLst>
        </c:ser>
        <c:ser>
          <c:idx val="1"/>
          <c:order val="1"/>
          <c:tx>
            <c:strRef>
              <c:f>Segmentos!$A$164</c:f>
              <c:strCache>
                <c:ptCount val="1"/>
                <c:pt idx="0">
                  <c:v>EBITDA</c:v>
                </c:pt>
              </c:strCache>
            </c:strRef>
          </c:tx>
          <c:spPr>
            <a:solidFill>
              <a:srgbClr val="878787"/>
            </a:solidFill>
            <a:ln>
              <a:noFill/>
            </a:ln>
            <a:effectLst/>
          </c:spPr>
          <c:invertIfNegative val="0"/>
          <c:cat>
            <c:numRef>
              <c:f>Segmentos!$B$154:$E$154</c:f>
              <c:numCache>
                <c:formatCode>General</c:formatCode>
                <c:ptCount val="4"/>
                <c:pt idx="0">
                  <c:v>2017</c:v>
                </c:pt>
                <c:pt idx="1">
                  <c:v>2018</c:v>
                </c:pt>
                <c:pt idx="2">
                  <c:v>2019</c:v>
                </c:pt>
                <c:pt idx="3">
                  <c:v>2020</c:v>
                </c:pt>
              </c:numCache>
            </c:numRef>
          </c:cat>
          <c:val>
            <c:numRef>
              <c:f>Segmentos!$B$164:$E$164</c:f>
              <c:numCache>
                <c:formatCode>#,##0</c:formatCode>
                <c:ptCount val="4"/>
                <c:pt idx="0">
                  <c:v>2405271.9522328512</c:v>
                </c:pt>
                <c:pt idx="1">
                  <c:v>3676145.8809313211</c:v>
                </c:pt>
                <c:pt idx="2">
                  <c:v>3464464.860192785</c:v>
                </c:pt>
                <c:pt idx="3">
                  <c:v>5068056.0631738277</c:v>
                </c:pt>
              </c:numCache>
            </c:numRef>
          </c:val>
          <c:extLst>
            <c:ext xmlns:c16="http://schemas.microsoft.com/office/drawing/2014/chart" uri="{C3380CC4-5D6E-409C-BE32-E72D297353CC}">
              <c16:uniqueId val="{00000001-2F41-46BA-9F45-3752C07B5D80}"/>
            </c:ext>
          </c:extLst>
        </c:ser>
        <c:dLbls>
          <c:showLegendKey val="0"/>
          <c:showVal val="0"/>
          <c:showCatName val="0"/>
          <c:showSerName val="0"/>
          <c:showPercent val="0"/>
          <c:showBubbleSize val="0"/>
        </c:dLbls>
        <c:gapWidth val="219"/>
        <c:overlap val="-27"/>
        <c:axId val="1373159055"/>
        <c:axId val="1373152399"/>
      </c:barChart>
      <c:lineChart>
        <c:grouping val="standard"/>
        <c:varyColors val="0"/>
        <c:ser>
          <c:idx val="2"/>
          <c:order val="2"/>
          <c:tx>
            <c:strRef>
              <c:f>Segmentos!$A$165</c:f>
              <c:strCache>
                <c:ptCount val="1"/>
                <c:pt idx="0">
                  <c:v>Margen EBITDA</c:v>
                </c:pt>
              </c:strCache>
            </c:strRef>
          </c:tx>
          <c:spPr>
            <a:ln w="28575" cap="rnd">
              <a:solidFill>
                <a:srgbClr val="AE1619"/>
              </a:solidFill>
              <a:round/>
            </a:ln>
            <a:effectLst/>
          </c:spPr>
          <c:marker>
            <c:symbol val="none"/>
          </c:marker>
          <c:cat>
            <c:numRef>
              <c:f>Segmentos!$B$154:$E$154</c:f>
              <c:numCache>
                <c:formatCode>General</c:formatCode>
                <c:ptCount val="4"/>
                <c:pt idx="0">
                  <c:v>2017</c:v>
                </c:pt>
                <c:pt idx="1">
                  <c:v>2018</c:v>
                </c:pt>
                <c:pt idx="2">
                  <c:v>2019</c:v>
                </c:pt>
                <c:pt idx="3">
                  <c:v>2020</c:v>
                </c:pt>
              </c:numCache>
            </c:numRef>
          </c:cat>
          <c:val>
            <c:numRef>
              <c:f>Segmentos!$B$165:$E$165</c:f>
              <c:numCache>
                <c:formatCode>0.0%</c:formatCode>
                <c:ptCount val="4"/>
                <c:pt idx="0">
                  <c:v>0.12379505584135948</c:v>
                </c:pt>
                <c:pt idx="1">
                  <c:v>0.15653154012753412</c:v>
                </c:pt>
                <c:pt idx="2">
                  <c:v>0.12048924940132234</c:v>
                </c:pt>
                <c:pt idx="3">
                  <c:v>0.14838809543538109</c:v>
                </c:pt>
              </c:numCache>
            </c:numRef>
          </c:val>
          <c:smooth val="0"/>
          <c:extLst>
            <c:ext xmlns:c16="http://schemas.microsoft.com/office/drawing/2014/chart" uri="{C3380CC4-5D6E-409C-BE32-E72D297353CC}">
              <c16:uniqueId val="{00000002-2F41-46BA-9F45-3752C07B5D80}"/>
            </c:ext>
          </c:extLst>
        </c:ser>
        <c:dLbls>
          <c:showLegendKey val="0"/>
          <c:showVal val="0"/>
          <c:showCatName val="0"/>
          <c:showSerName val="0"/>
          <c:showPercent val="0"/>
          <c:showBubbleSize val="0"/>
        </c:dLbls>
        <c:marker val="1"/>
        <c:smooth val="0"/>
        <c:axId val="1449670303"/>
        <c:axId val="1373156975"/>
      </c:lineChart>
      <c:catAx>
        <c:axId val="137315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373152399"/>
        <c:crosses val="autoZero"/>
        <c:auto val="1"/>
        <c:lblAlgn val="ctr"/>
        <c:lblOffset val="100"/>
        <c:noMultiLvlLbl val="0"/>
      </c:catAx>
      <c:valAx>
        <c:axId val="1373152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r>
                  <a:rPr lang="es-CL" b="0"/>
                  <a:t>M $</a:t>
                </a:r>
              </a:p>
            </c:rich>
          </c:tx>
          <c:layout>
            <c:manualLayout>
              <c:xMode val="edge"/>
              <c:yMode val="edge"/>
              <c:x val="1.0884353741496598E-2"/>
              <c:y val="0.4143599533831395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373159055"/>
        <c:crosses val="autoZero"/>
        <c:crossBetween val="between"/>
      </c:valAx>
      <c:valAx>
        <c:axId val="1373156975"/>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449670303"/>
        <c:crosses val="max"/>
        <c:crossBetween val="between"/>
      </c:valAx>
      <c:catAx>
        <c:axId val="1449670303"/>
        <c:scaling>
          <c:orientation val="minMax"/>
        </c:scaling>
        <c:delete val="1"/>
        <c:axPos val="b"/>
        <c:numFmt formatCode="General" sourceLinked="1"/>
        <c:majorTickMark val="none"/>
        <c:minorTickMark val="none"/>
        <c:tickLblPos val="nextTo"/>
        <c:crossAx val="1373156975"/>
        <c:crosses val="autoZero"/>
        <c:auto val="1"/>
        <c:lblAlgn val="ctr"/>
        <c:lblOffset val="100"/>
        <c:noMultiLvlLbl val="0"/>
      </c:catAx>
      <c:spPr>
        <a:noFill/>
        <a:ln>
          <a:noFill/>
        </a:ln>
        <a:effectLst/>
      </c:spPr>
    </c:plotArea>
    <c:legend>
      <c:legendPos val="b"/>
      <c:layout>
        <c:manualLayout>
          <c:xMode val="edge"/>
          <c:yMode val="edge"/>
          <c:x val="0.21191751031121109"/>
          <c:y val="0.89996438989824146"/>
          <c:w val="0.60844985971581134"/>
          <c:h val="9.1758974397175272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legend>
    <c:plotVisOnly val="1"/>
    <c:dispBlanksAs val="gap"/>
    <c:showDLblsOverMax val="0"/>
  </c:chart>
  <c:spPr>
    <a:solidFill>
      <a:schemeClr val="bg1"/>
    </a:solidFill>
    <a:ln w="9525" cap="flat" cmpd="sng" algn="ctr">
      <a:noFill/>
      <a:round/>
    </a:ln>
    <a:effectLst/>
  </c:spPr>
  <c:txPr>
    <a:bodyPr/>
    <a:lstStyle/>
    <a:p>
      <a:pPr>
        <a:defRPr sz="800">
          <a:solidFill>
            <a:srgbClr val="284675"/>
          </a:solidFill>
          <a:latin typeface="Myriad Pro" panose="020B0503030403020204" pitchFamily="34" charset="0"/>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Segmentos!$A$172</c:f>
              <c:strCache>
                <c:ptCount val="1"/>
                <c:pt idx="0">
                  <c:v>Ingresos</c:v>
                </c:pt>
              </c:strCache>
            </c:strRef>
          </c:tx>
          <c:spPr>
            <a:solidFill>
              <a:srgbClr val="284675"/>
            </a:solidFill>
            <a:ln>
              <a:noFill/>
            </a:ln>
            <a:effectLst/>
          </c:spPr>
          <c:invertIfNegative val="0"/>
          <c:cat>
            <c:numRef>
              <c:f>Segmentos!$B$154:$E$154</c:f>
              <c:numCache>
                <c:formatCode>General</c:formatCode>
                <c:ptCount val="4"/>
                <c:pt idx="0">
                  <c:v>2017</c:v>
                </c:pt>
                <c:pt idx="1">
                  <c:v>2018</c:v>
                </c:pt>
                <c:pt idx="2">
                  <c:v>2019</c:v>
                </c:pt>
                <c:pt idx="3">
                  <c:v>2020</c:v>
                </c:pt>
              </c:numCache>
            </c:numRef>
          </c:cat>
          <c:val>
            <c:numRef>
              <c:f>Segmentos!$B$172:$E$172</c:f>
              <c:numCache>
                <c:formatCode>#,##0</c:formatCode>
                <c:ptCount val="4"/>
                <c:pt idx="0">
                  <c:v>6776054</c:v>
                </c:pt>
                <c:pt idx="1">
                  <c:v>7968974</c:v>
                </c:pt>
                <c:pt idx="2">
                  <c:v>8784304</c:v>
                </c:pt>
                <c:pt idx="3">
                  <c:v>15164574</c:v>
                </c:pt>
              </c:numCache>
            </c:numRef>
          </c:val>
          <c:extLst>
            <c:ext xmlns:c16="http://schemas.microsoft.com/office/drawing/2014/chart" uri="{C3380CC4-5D6E-409C-BE32-E72D297353CC}">
              <c16:uniqueId val="{00000000-F0B9-4F89-B64F-62E44856D7F4}"/>
            </c:ext>
          </c:extLst>
        </c:ser>
        <c:ser>
          <c:idx val="1"/>
          <c:order val="1"/>
          <c:tx>
            <c:strRef>
              <c:f>Segmentos!$A$173</c:f>
              <c:strCache>
                <c:ptCount val="1"/>
                <c:pt idx="0">
                  <c:v>EBITDA</c:v>
                </c:pt>
              </c:strCache>
            </c:strRef>
          </c:tx>
          <c:spPr>
            <a:solidFill>
              <a:srgbClr val="878787"/>
            </a:solidFill>
            <a:ln>
              <a:noFill/>
            </a:ln>
            <a:effectLst/>
          </c:spPr>
          <c:invertIfNegative val="0"/>
          <c:cat>
            <c:numRef>
              <c:f>Segmentos!$B$154:$E$154</c:f>
              <c:numCache>
                <c:formatCode>General</c:formatCode>
                <c:ptCount val="4"/>
                <c:pt idx="0">
                  <c:v>2017</c:v>
                </c:pt>
                <c:pt idx="1">
                  <c:v>2018</c:v>
                </c:pt>
                <c:pt idx="2">
                  <c:v>2019</c:v>
                </c:pt>
                <c:pt idx="3">
                  <c:v>2020</c:v>
                </c:pt>
              </c:numCache>
            </c:numRef>
          </c:cat>
          <c:val>
            <c:numRef>
              <c:f>Segmentos!$B$173:$E$173</c:f>
              <c:numCache>
                <c:formatCode>#,##0</c:formatCode>
                <c:ptCount val="4"/>
                <c:pt idx="0">
                  <c:v>-109379.47969282245</c:v>
                </c:pt>
                <c:pt idx="1">
                  <c:v>536916.68155835441</c:v>
                </c:pt>
                <c:pt idx="2">
                  <c:v>186887.23155925798</c:v>
                </c:pt>
                <c:pt idx="3">
                  <c:v>1134341.6352427443</c:v>
                </c:pt>
              </c:numCache>
            </c:numRef>
          </c:val>
          <c:extLst>
            <c:ext xmlns:c16="http://schemas.microsoft.com/office/drawing/2014/chart" uri="{C3380CC4-5D6E-409C-BE32-E72D297353CC}">
              <c16:uniqueId val="{00000001-F0B9-4F89-B64F-62E44856D7F4}"/>
            </c:ext>
          </c:extLst>
        </c:ser>
        <c:dLbls>
          <c:showLegendKey val="0"/>
          <c:showVal val="0"/>
          <c:showCatName val="0"/>
          <c:showSerName val="0"/>
          <c:showPercent val="0"/>
          <c:showBubbleSize val="0"/>
        </c:dLbls>
        <c:gapWidth val="219"/>
        <c:overlap val="-27"/>
        <c:axId val="1373159055"/>
        <c:axId val="1373152399"/>
      </c:barChart>
      <c:lineChart>
        <c:grouping val="standard"/>
        <c:varyColors val="0"/>
        <c:ser>
          <c:idx val="2"/>
          <c:order val="2"/>
          <c:tx>
            <c:strRef>
              <c:f>Segmentos!$A$174</c:f>
              <c:strCache>
                <c:ptCount val="1"/>
                <c:pt idx="0">
                  <c:v>Margen EBITDA</c:v>
                </c:pt>
              </c:strCache>
            </c:strRef>
          </c:tx>
          <c:spPr>
            <a:ln w="28575" cap="rnd">
              <a:solidFill>
                <a:srgbClr val="AE1619"/>
              </a:solidFill>
              <a:round/>
            </a:ln>
            <a:effectLst/>
          </c:spPr>
          <c:marker>
            <c:symbol val="none"/>
          </c:marker>
          <c:cat>
            <c:numRef>
              <c:f>Segmentos!$B$154:$E$154</c:f>
              <c:numCache>
                <c:formatCode>General</c:formatCode>
                <c:ptCount val="4"/>
                <c:pt idx="0">
                  <c:v>2017</c:v>
                </c:pt>
                <c:pt idx="1">
                  <c:v>2018</c:v>
                </c:pt>
                <c:pt idx="2">
                  <c:v>2019</c:v>
                </c:pt>
                <c:pt idx="3">
                  <c:v>2020</c:v>
                </c:pt>
              </c:numCache>
            </c:numRef>
          </c:cat>
          <c:val>
            <c:numRef>
              <c:f>Segmentos!$B$174:$E$174</c:f>
              <c:numCache>
                <c:formatCode>0.0%</c:formatCode>
                <c:ptCount val="4"/>
                <c:pt idx="0">
                  <c:v>-1.6142061396326308E-2</c:v>
                </c:pt>
                <c:pt idx="1">
                  <c:v>6.7375885723601855E-2</c:v>
                </c:pt>
                <c:pt idx="2">
                  <c:v>2.127513250443723E-2</c:v>
                </c:pt>
                <c:pt idx="3">
                  <c:v>7.4802077212504911E-2</c:v>
                </c:pt>
              </c:numCache>
            </c:numRef>
          </c:val>
          <c:smooth val="0"/>
          <c:extLst>
            <c:ext xmlns:c16="http://schemas.microsoft.com/office/drawing/2014/chart" uri="{C3380CC4-5D6E-409C-BE32-E72D297353CC}">
              <c16:uniqueId val="{00000002-F0B9-4F89-B64F-62E44856D7F4}"/>
            </c:ext>
          </c:extLst>
        </c:ser>
        <c:dLbls>
          <c:showLegendKey val="0"/>
          <c:showVal val="0"/>
          <c:showCatName val="0"/>
          <c:showSerName val="0"/>
          <c:showPercent val="0"/>
          <c:showBubbleSize val="0"/>
        </c:dLbls>
        <c:marker val="1"/>
        <c:smooth val="0"/>
        <c:axId val="1449670303"/>
        <c:axId val="1373156975"/>
      </c:lineChart>
      <c:catAx>
        <c:axId val="1373159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373152399"/>
        <c:crosses val="autoZero"/>
        <c:auto val="1"/>
        <c:lblAlgn val="ctr"/>
        <c:lblOffset val="100"/>
        <c:noMultiLvlLbl val="0"/>
      </c:catAx>
      <c:valAx>
        <c:axId val="1373152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r>
                  <a:rPr lang="es-CL" b="0"/>
                  <a:t>M $</a:t>
                </a:r>
              </a:p>
            </c:rich>
          </c:tx>
          <c:layout>
            <c:manualLayout>
              <c:xMode val="edge"/>
              <c:yMode val="edge"/>
              <c:x val="1.0884353741496598E-2"/>
              <c:y val="0.4143599533831395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373159055"/>
        <c:crosses val="autoZero"/>
        <c:crossBetween val="between"/>
      </c:valAx>
      <c:valAx>
        <c:axId val="1373156975"/>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1449670303"/>
        <c:crosses val="max"/>
        <c:crossBetween val="between"/>
      </c:valAx>
      <c:catAx>
        <c:axId val="1449670303"/>
        <c:scaling>
          <c:orientation val="minMax"/>
        </c:scaling>
        <c:delete val="1"/>
        <c:axPos val="b"/>
        <c:numFmt formatCode="General" sourceLinked="1"/>
        <c:majorTickMark val="none"/>
        <c:minorTickMark val="none"/>
        <c:tickLblPos val="nextTo"/>
        <c:crossAx val="1373156975"/>
        <c:crosses val="autoZero"/>
        <c:auto val="1"/>
        <c:lblAlgn val="ctr"/>
        <c:lblOffset val="100"/>
        <c:noMultiLvlLbl val="0"/>
      </c:catAx>
      <c:spPr>
        <a:noFill/>
        <a:ln>
          <a:noFill/>
        </a:ln>
        <a:effectLst/>
      </c:spPr>
    </c:plotArea>
    <c:legend>
      <c:legendPos val="b"/>
      <c:layout>
        <c:manualLayout>
          <c:xMode val="edge"/>
          <c:yMode val="edge"/>
          <c:x val="0.21191751031121109"/>
          <c:y val="0.89996438989824146"/>
          <c:w val="0.60844985971581134"/>
          <c:h val="9.1758974397175272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legend>
    <c:plotVisOnly val="1"/>
    <c:dispBlanksAs val="gap"/>
    <c:showDLblsOverMax val="0"/>
  </c:chart>
  <c:spPr>
    <a:solidFill>
      <a:schemeClr val="bg1"/>
    </a:solidFill>
    <a:ln w="9525" cap="flat" cmpd="sng" algn="ctr">
      <a:noFill/>
      <a:round/>
    </a:ln>
    <a:effectLst/>
  </c:spPr>
  <c:txPr>
    <a:bodyPr/>
    <a:lstStyle/>
    <a:p>
      <a:pPr>
        <a:defRPr sz="800">
          <a:solidFill>
            <a:srgbClr val="284675"/>
          </a:solidFill>
          <a:latin typeface="Myriad Pro" panose="020B0503030403020204" pitchFamily="34" charset="0"/>
        </a:defRPr>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 informe'!$A$5</c:f>
              <c:strCache>
                <c:ptCount val="1"/>
                <c:pt idx="0">
                  <c:v>Ingresos</c:v>
                </c:pt>
              </c:strCache>
            </c:strRef>
          </c:tx>
          <c:spPr>
            <a:solidFill>
              <a:srgbClr val="284675"/>
            </a:solidFill>
            <a:ln>
              <a:noFill/>
            </a:ln>
            <a:effectLst/>
          </c:spPr>
          <c:invertIfNegative val="0"/>
          <c:cat>
            <c:numRef>
              <c:f>'Gráficos informe'!$B$4:$G$4</c:f>
              <c:numCache>
                <c:formatCode>General</c:formatCode>
                <c:ptCount val="6"/>
                <c:pt idx="0">
                  <c:v>2016</c:v>
                </c:pt>
                <c:pt idx="1">
                  <c:v>2017</c:v>
                </c:pt>
                <c:pt idx="2">
                  <c:v>2018</c:v>
                </c:pt>
                <c:pt idx="3">
                  <c:v>2019</c:v>
                </c:pt>
                <c:pt idx="4">
                  <c:v>2020</c:v>
                </c:pt>
                <c:pt idx="5" formatCode="mmm\-yy">
                  <c:v>44348</c:v>
                </c:pt>
              </c:numCache>
            </c:numRef>
          </c:cat>
          <c:val>
            <c:numRef>
              <c:f>'Gráficos informe'!$B$5:$G$5</c:f>
              <c:numCache>
                <c:formatCode>_(* #,##0_);_(* \(#,##0\);_(* "-"_);_(@_)</c:formatCode>
                <c:ptCount val="6"/>
                <c:pt idx="0">
                  <c:v>79774784.763157889</c:v>
                </c:pt>
                <c:pt idx="1">
                  <c:v>73339308.424882635</c:v>
                </c:pt>
                <c:pt idx="2">
                  <c:v>81919121.61872147</c:v>
                </c:pt>
                <c:pt idx="3">
                  <c:v>91605675.532689527</c:v>
                </c:pt>
                <c:pt idx="4">
                  <c:v>92535655.717234135</c:v>
                </c:pt>
                <c:pt idx="5">
                  <c:v>123651977.82257631</c:v>
                </c:pt>
              </c:numCache>
            </c:numRef>
          </c:val>
          <c:extLst>
            <c:ext xmlns:c16="http://schemas.microsoft.com/office/drawing/2014/chart" uri="{C3380CC4-5D6E-409C-BE32-E72D297353CC}">
              <c16:uniqueId val="{00000000-2CF1-41EA-A2AB-F96C41A6DC5B}"/>
            </c:ext>
          </c:extLst>
        </c:ser>
        <c:ser>
          <c:idx val="1"/>
          <c:order val="1"/>
          <c:tx>
            <c:strRef>
              <c:f>'Gráficos informe'!$A$6</c:f>
              <c:strCache>
                <c:ptCount val="1"/>
                <c:pt idx="0">
                  <c:v>EBITDA</c:v>
                </c:pt>
              </c:strCache>
            </c:strRef>
          </c:tx>
          <c:spPr>
            <a:solidFill>
              <a:srgbClr val="878787"/>
            </a:solidFill>
            <a:ln>
              <a:noFill/>
            </a:ln>
            <a:effectLst/>
          </c:spPr>
          <c:invertIfNegative val="0"/>
          <c:cat>
            <c:numRef>
              <c:f>'Gráficos informe'!$B$4:$G$4</c:f>
              <c:numCache>
                <c:formatCode>General</c:formatCode>
                <c:ptCount val="6"/>
                <c:pt idx="0">
                  <c:v>2016</c:v>
                </c:pt>
                <c:pt idx="1">
                  <c:v>2017</c:v>
                </c:pt>
                <c:pt idx="2">
                  <c:v>2018</c:v>
                </c:pt>
                <c:pt idx="3">
                  <c:v>2019</c:v>
                </c:pt>
                <c:pt idx="4">
                  <c:v>2020</c:v>
                </c:pt>
                <c:pt idx="5" formatCode="mmm\-yy">
                  <c:v>44348</c:v>
                </c:pt>
              </c:numCache>
            </c:numRef>
          </c:cat>
          <c:val>
            <c:numRef>
              <c:f>'Gráficos informe'!$B$6:$G$6</c:f>
              <c:numCache>
                <c:formatCode>_(* #,##0_);_(* \(#,##0\);_(* "-"_);_(@_)</c:formatCode>
                <c:ptCount val="6"/>
                <c:pt idx="0">
                  <c:v>9732441.2105263155</c:v>
                </c:pt>
                <c:pt idx="1">
                  <c:v>4024097.464788734</c:v>
                </c:pt>
                <c:pt idx="2">
                  <c:v>7094095.0365296807</c:v>
                </c:pt>
                <c:pt idx="3">
                  <c:v>8465324.440173829</c:v>
                </c:pt>
                <c:pt idx="4">
                  <c:v>10012158.000706958</c:v>
                </c:pt>
                <c:pt idx="5">
                  <c:v>18908890.468170222</c:v>
                </c:pt>
              </c:numCache>
            </c:numRef>
          </c:val>
          <c:extLst>
            <c:ext xmlns:c16="http://schemas.microsoft.com/office/drawing/2014/chart" uri="{C3380CC4-5D6E-409C-BE32-E72D297353CC}">
              <c16:uniqueId val="{00000001-2CF1-41EA-A2AB-F96C41A6DC5B}"/>
            </c:ext>
          </c:extLst>
        </c:ser>
        <c:dLbls>
          <c:showLegendKey val="0"/>
          <c:showVal val="0"/>
          <c:showCatName val="0"/>
          <c:showSerName val="0"/>
          <c:showPercent val="0"/>
          <c:showBubbleSize val="0"/>
        </c:dLbls>
        <c:gapWidth val="219"/>
        <c:axId val="579206511"/>
        <c:axId val="579206095"/>
      </c:barChart>
      <c:lineChart>
        <c:grouping val="standard"/>
        <c:varyColors val="0"/>
        <c:ser>
          <c:idx val="2"/>
          <c:order val="2"/>
          <c:tx>
            <c:strRef>
              <c:f>'Gráficos informe'!$A$7</c:f>
              <c:strCache>
                <c:ptCount val="1"/>
                <c:pt idx="0">
                  <c:v>Margen EBITDA</c:v>
                </c:pt>
              </c:strCache>
            </c:strRef>
          </c:tx>
          <c:spPr>
            <a:ln w="28575" cap="rnd">
              <a:solidFill>
                <a:srgbClr val="AE1619"/>
              </a:solidFill>
              <a:round/>
            </a:ln>
            <a:effectLst/>
          </c:spPr>
          <c:marker>
            <c:symbol val="none"/>
          </c:marker>
          <c:cat>
            <c:numRef>
              <c:f>'Gráficos informe'!$B$4:$G$4</c:f>
              <c:numCache>
                <c:formatCode>General</c:formatCode>
                <c:ptCount val="6"/>
                <c:pt idx="0">
                  <c:v>2016</c:v>
                </c:pt>
                <c:pt idx="1">
                  <c:v>2017</c:v>
                </c:pt>
                <c:pt idx="2">
                  <c:v>2018</c:v>
                </c:pt>
                <c:pt idx="3">
                  <c:v>2019</c:v>
                </c:pt>
                <c:pt idx="4">
                  <c:v>2020</c:v>
                </c:pt>
                <c:pt idx="5" formatCode="mmm\-yy">
                  <c:v>44348</c:v>
                </c:pt>
              </c:numCache>
            </c:numRef>
          </c:cat>
          <c:val>
            <c:numRef>
              <c:f>'Gráficos informe'!$B$7:$G$7</c:f>
              <c:numCache>
                <c:formatCode>0.0%</c:formatCode>
                <c:ptCount val="6"/>
                <c:pt idx="0" formatCode="0%">
                  <c:v>0.12199896545532285</c:v>
                </c:pt>
                <c:pt idx="1">
                  <c:v>5.4869585645334965E-2</c:v>
                </c:pt>
                <c:pt idx="2" formatCode="0%">
                  <c:v>8.659876835042167E-2</c:v>
                </c:pt>
                <c:pt idx="3" formatCode="0%">
                  <c:v>9.2410479928756964E-2</c:v>
                </c:pt>
                <c:pt idx="4" formatCode="0%">
                  <c:v>0.10819783923400957</c:v>
                </c:pt>
                <c:pt idx="5">
                  <c:v>0.15292024277445765</c:v>
                </c:pt>
              </c:numCache>
            </c:numRef>
          </c:val>
          <c:smooth val="0"/>
          <c:extLst>
            <c:ext xmlns:c16="http://schemas.microsoft.com/office/drawing/2014/chart" uri="{C3380CC4-5D6E-409C-BE32-E72D297353CC}">
              <c16:uniqueId val="{00000002-2CF1-41EA-A2AB-F96C41A6DC5B}"/>
            </c:ext>
          </c:extLst>
        </c:ser>
        <c:dLbls>
          <c:showLegendKey val="0"/>
          <c:showVal val="0"/>
          <c:showCatName val="0"/>
          <c:showSerName val="0"/>
          <c:showPercent val="0"/>
          <c:showBubbleSize val="0"/>
        </c:dLbls>
        <c:marker val="1"/>
        <c:smooth val="0"/>
        <c:axId val="869410335"/>
        <c:axId val="869409919"/>
      </c:lineChart>
      <c:catAx>
        <c:axId val="5792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579206095"/>
        <c:crosses val="autoZero"/>
        <c:auto val="1"/>
        <c:lblAlgn val="ctr"/>
        <c:lblOffset val="100"/>
        <c:noMultiLvlLbl val="0"/>
      </c:catAx>
      <c:valAx>
        <c:axId val="579206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r>
                  <a:rPr lang="es-CL"/>
                  <a:t>M $</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579206511"/>
        <c:crosses val="autoZero"/>
        <c:crossBetween val="between"/>
      </c:valAx>
      <c:valAx>
        <c:axId val="869409919"/>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869410335"/>
        <c:crosses val="max"/>
        <c:crossBetween val="between"/>
      </c:valAx>
      <c:catAx>
        <c:axId val="869410335"/>
        <c:scaling>
          <c:orientation val="minMax"/>
        </c:scaling>
        <c:delete val="1"/>
        <c:axPos val="b"/>
        <c:numFmt formatCode="General" sourceLinked="1"/>
        <c:majorTickMark val="out"/>
        <c:minorTickMark val="none"/>
        <c:tickLblPos val="nextTo"/>
        <c:crossAx val="8694099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legend>
    <c:plotVisOnly val="1"/>
    <c:dispBlanksAs val="gap"/>
    <c:showDLblsOverMax val="0"/>
  </c:chart>
  <c:spPr>
    <a:solidFill>
      <a:schemeClr val="bg1"/>
    </a:solidFill>
    <a:ln w="9525" cap="flat" cmpd="sng" algn="ctr">
      <a:noFill/>
      <a:round/>
    </a:ln>
    <a:effectLst/>
  </c:spPr>
  <c:txPr>
    <a:bodyPr/>
    <a:lstStyle/>
    <a:p>
      <a:pPr>
        <a:defRPr sz="800">
          <a:solidFill>
            <a:srgbClr val="284675"/>
          </a:solidFill>
          <a:latin typeface="Myriad Pro" panose="020B0503030403020204" pitchFamily="34" charset="0"/>
        </a:defRPr>
      </a:pPr>
      <a:endParaRPr lang="es-C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 informe'!$A$50</c:f>
              <c:strCache>
                <c:ptCount val="1"/>
                <c:pt idx="0">
                  <c:v>EBITDA</c:v>
                </c:pt>
              </c:strCache>
            </c:strRef>
          </c:tx>
          <c:spPr>
            <a:solidFill>
              <a:srgbClr val="284675"/>
            </a:solidFill>
            <a:ln>
              <a:noFill/>
            </a:ln>
            <a:effectLst/>
          </c:spPr>
          <c:invertIfNegative val="0"/>
          <c:cat>
            <c:numRef>
              <c:f>'Gráficos informe'!$B$26:$G$26</c:f>
              <c:numCache>
                <c:formatCode>General</c:formatCode>
                <c:ptCount val="6"/>
                <c:pt idx="0">
                  <c:v>2016</c:v>
                </c:pt>
                <c:pt idx="1">
                  <c:v>2017</c:v>
                </c:pt>
                <c:pt idx="2">
                  <c:v>2018</c:v>
                </c:pt>
                <c:pt idx="3">
                  <c:v>2019</c:v>
                </c:pt>
                <c:pt idx="4">
                  <c:v>2020</c:v>
                </c:pt>
                <c:pt idx="5" formatCode="mmm\-yy">
                  <c:v>44348</c:v>
                </c:pt>
              </c:numCache>
            </c:numRef>
          </c:cat>
          <c:val>
            <c:numRef>
              <c:f>'Gráficos informe'!$B$50:$G$50</c:f>
              <c:numCache>
                <c:formatCode>_(* #,##0_);_(* \(#,##0\);_(* "-"_);_(@_)</c:formatCode>
                <c:ptCount val="6"/>
                <c:pt idx="0">
                  <c:v>9732441.2105263155</c:v>
                </c:pt>
                <c:pt idx="1">
                  <c:v>4024097.464788734</c:v>
                </c:pt>
                <c:pt idx="2">
                  <c:v>7094095.0365296807</c:v>
                </c:pt>
                <c:pt idx="3">
                  <c:v>8465324.440173829</c:v>
                </c:pt>
                <c:pt idx="4">
                  <c:v>10012158.000706958</c:v>
                </c:pt>
                <c:pt idx="5">
                  <c:v>18908890.468170222</c:v>
                </c:pt>
              </c:numCache>
            </c:numRef>
          </c:val>
          <c:extLst>
            <c:ext xmlns:c16="http://schemas.microsoft.com/office/drawing/2014/chart" uri="{C3380CC4-5D6E-409C-BE32-E72D297353CC}">
              <c16:uniqueId val="{00000000-A868-4D0B-A4D7-56DF03D481F8}"/>
            </c:ext>
          </c:extLst>
        </c:ser>
        <c:ser>
          <c:idx val="1"/>
          <c:order val="1"/>
          <c:tx>
            <c:strRef>
              <c:f>'Gráficos informe'!$A$51</c:f>
              <c:strCache>
                <c:ptCount val="1"/>
                <c:pt idx="0">
                  <c:v>FCLP</c:v>
                </c:pt>
              </c:strCache>
            </c:strRef>
          </c:tx>
          <c:spPr>
            <a:solidFill>
              <a:srgbClr val="878787"/>
            </a:solidFill>
            <a:ln>
              <a:noFill/>
            </a:ln>
            <a:effectLst/>
          </c:spPr>
          <c:invertIfNegative val="0"/>
          <c:cat>
            <c:numRef>
              <c:f>'Gráficos informe'!$B$26:$G$26</c:f>
              <c:numCache>
                <c:formatCode>General</c:formatCode>
                <c:ptCount val="6"/>
                <c:pt idx="0">
                  <c:v>2016</c:v>
                </c:pt>
                <c:pt idx="1">
                  <c:v>2017</c:v>
                </c:pt>
                <c:pt idx="2">
                  <c:v>2018</c:v>
                </c:pt>
                <c:pt idx="3">
                  <c:v>2019</c:v>
                </c:pt>
                <c:pt idx="4">
                  <c:v>2020</c:v>
                </c:pt>
                <c:pt idx="5" formatCode="mmm\-yy">
                  <c:v>44348</c:v>
                </c:pt>
              </c:numCache>
            </c:numRef>
          </c:cat>
          <c:val>
            <c:numRef>
              <c:f>'Gráficos informe'!$B$51:$G$51</c:f>
              <c:numCache>
                <c:formatCode>_(* #,##0_);_(* \(#,##0\);_(* "-"_);_(@_)</c:formatCode>
                <c:ptCount val="6"/>
                <c:pt idx="0">
                  <c:v>7033164.9797477257</c:v>
                </c:pt>
                <c:pt idx="1">
                  <c:v>4805060.7610694477</c:v>
                </c:pt>
                <c:pt idx="2">
                  <c:v>5110098.1592325149</c:v>
                </c:pt>
                <c:pt idx="3">
                  <c:v>8275542.1297801081</c:v>
                </c:pt>
                <c:pt idx="4">
                  <c:v>8234964.6457719803</c:v>
                </c:pt>
                <c:pt idx="5">
                  <c:v>10389572.285530677</c:v>
                </c:pt>
              </c:numCache>
            </c:numRef>
          </c:val>
          <c:extLst>
            <c:ext xmlns:c16="http://schemas.microsoft.com/office/drawing/2014/chart" uri="{C3380CC4-5D6E-409C-BE32-E72D297353CC}">
              <c16:uniqueId val="{00000001-A868-4D0B-A4D7-56DF03D481F8}"/>
            </c:ext>
          </c:extLst>
        </c:ser>
        <c:ser>
          <c:idx val="2"/>
          <c:order val="2"/>
          <c:tx>
            <c:strRef>
              <c:f>'Gráficos informe'!$A$52</c:f>
              <c:strCache>
                <c:ptCount val="1"/>
                <c:pt idx="0">
                  <c:v>Deuda Financiera</c:v>
                </c:pt>
              </c:strCache>
            </c:strRef>
          </c:tx>
          <c:spPr>
            <a:solidFill>
              <a:srgbClr val="AE1619"/>
            </a:solidFill>
            <a:ln>
              <a:noFill/>
            </a:ln>
            <a:effectLst/>
          </c:spPr>
          <c:invertIfNegative val="0"/>
          <c:cat>
            <c:numRef>
              <c:f>'Gráficos informe'!$B$26:$G$26</c:f>
              <c:numCache>
                <c:formatCode>General</c:formatCode>
                <c:ptCount val="6"/>
                <c:pt idx="0">
                  <c:v>2016</c:v>
                </c:pt>
                <c:pt idx="1">
                  <c:v>2017</c:v>
                </c:pt>
                <c:pt idx="2">
                  <c:v>2018</c:v>
                </c:pt>
                <c:pt idx="3">
                  <c:v>2019</c:v>
                </c:pt>
                <c:pt idx="4">
                  <c:v>2020</c:v>
                </c:pt>
                <c:pt idx="5" formatCode="mmm\-yy">
                  <c:v>44348</c:v>
                </c:pt>
              </c:numCache>
            </c:numRef>
          </c:cat>
          <c:val>
            <c:numRef>
              <c:f>'Gráficos informe'!$B$52:$G$52</c:f>
              <c:numCache>
                <c:formatCode>_(* #,##0_);_(* \(#,##0\);_(* "-"_);_(@_)</c:formatCode>
                <c:ptCount val="6"/>
                <c:pt idx="0">
                  <c:v>25164135.236842111</c:v>
                </c:pt>
                <c:pt idx="1">
                  <c:v>25841612.190140843</c:v>
                </c:pt>
                <c:pt idx="2">
                  <c:v>24835658.732876718</c:v>
                </c:pt>
                <c:pt idx="3">
                  <c:v>61046805.120907784</c:v>
                </c:pt>
                <c:pt idx="4">
                  <c:v>61775673.369900361</c:v>
                </c:pt>
                <c:pt idx="5">
                  <c:v>72979064</c:v>
                </c:pt>
              </c:numCache>
            </c:numRef>
          </c:val>
          <c:extLst>
            <c:ext xmlns:c16="http://schemas.microsoft.com/office/drawing/2014/chart" uri="{C3380CC4-5D6E-409C-BE32-E72D297353CC}">
              <c16:uniqueId val="{00000002-A868-4D0B-A4D7-56DF03D481F8}"/>
            </c:ext>
          </c:extLst>
        </c:ser>
        <c:dLbls>
          <c:showLegendKey val="0"/>
          <c:showVal val="0"/>
          <c:showCatName val="0"/>
          <c:showSerName val="0"/>
          <c:showPercent val="0"/>
          <c:showBubbleSize val="0"/>
        </c:dLbls>
        <c:gapWidth val="150"/>
        <c:axId val="445303967"/>
        <c:axId val="445298559"/>
      </c:barChart>
      <c:lineChart>
        <c:grouping val="standard"/>
        <c:varyColors val="0"/>
        <c:ser>
          <c:idx val="3"/>
          <c:order val="3"/>
          <c:tx>
            <c:strRef>
              <c:f>'Gráficos informe'!$A$54</c:f>
              <c:strCache>
                <c:ptCount val="1"/>
                <c:pt idx="0">
                  <c:v>DF / FCLP</c:v>
                </c:pt>
              </c:strCache>
            </c:strRef>
          </c:tx>
          <c:spPr>
            <a:ln w="28575" cap="rnd">
              <a:solidFill>
                <a:srgbClr val="46AC46"/>
              </a:solidFill>
              <a:round/>
            </a:ln>
            <a:effectLst/>
          </c:spPr>
          <c:marker>
            <c:symbol val="none"/>
          </c:marker>
          <c:cat>
            <c:numRef>
              <c:f>'Gráficos informe'!$B$49:$G$49</c:f>
              <c:numCache>
                <c:formatCode>General</c:formatCode>
                <c:ptCount val="6"/>
                <c:pt idx="0">
                  <c:v>2016</c:v>
                </c:pt>
                <c:pt idx="1">
                  <c:v>2017</c:v>
                </c:pt>
                <c:pt idx="2">
                  <c:v>2018</c:v>
                </c:pt>
                <c:pt idx="3">
                  <c:v>2019</c:v>
                </c:pt>
                <c:pt idx="4">
                  <c:v>2020</c:v>
                </c:pt>
                <c:pt idx="5" formatCode="mmm\-yy">
                  <c:v>44348</c:v>
                </c:pt>
              </c:numCache>
            </c:numRef>
          </c:cat>
          <c:val>
            <c:numRef>
              <c:f>'Gráficos informe'!$B$54:$G$54</c:f>
              <c:numCache>
                <c:formatCode>_ * #,##0.0_ ;_ * \-#,##0.0_ ;_ * "-"_ ;_ @_ </c:formatCode>
                <c:ptCount val="6"/>
                <c:pt idx="0">
                  <c:v>3.5779247762996067</c:v>
                </c:pt>
                <c:pt idx="1">
                  <c:v>5.3779990462366918</c:v>
                </c:pt>
                <c:pt idx="2">
                  <c:v>4.8601138293215849</c:v>
                </c:pt>
                <c:pt idx="3">
                  <c:v>7.3767741331684666</c:v>
                </c:pt>
                <c:pt idx="4">
                  <c:v>7.5016318863757849</c:v>
                </c:pt>
                <c:pt idx="5">
                  <c:v>7.0242606716001479</c:v>
                </c:pt>
              </c:numCache>
            </c:numRef>
          </c:val>
          <c:smooth val="0"/>
          <c:extLst>
            <c:ext xmlns:c16="http://schemas.microsoft.com/office/drawing/2014/chart" uri="{C3380CC4-5D6E-409C-BE32-E72D297353CC}">
              <c16:uniqueId val="{00000003-A868-4D0B-A4D7-56DF03D481F8}"/>
            </c:ext>
          </c:extLst>
        </c:ser>
        <c:ser>
          <c:idx val="4"/>
          <c:order val="4"/>
          <c:tx>
            <c:strRef>
              <c:f>'Gráficos informe'!$A$55</c:f>
              <c:strCache>
                <c:ptCount val="1"/>
                <c:pt idx="0">
                  <c:v>DF / EBITDA</c:v>
                </c:pt>
              </c:strCache>
            </c:strRef>
          </c:tx>
          <c:spPr>
            <a:ln w="28575" cap="rnd">
              <a:solidFill>
                <a:srgbClr val="F8DC3B"/>
              </a:solidFill>
              <a:round/>
            </a:ln>
            <a:effectLst/>
          </c:spPr>
          <c:marker>
            <c:symbol val="none"/>
          </c:marker>
          <c:cat>
            <c:numRef>
              <c:f>'Gráficos informe'!$B$49:$G$49</c:f>
              <c:numCache>
                <c:formatCode>General</c:formatCode>
                <c:ptCount val="6"/>
                <c:pt idx="0">
                  <c:v>2016</c:v>
                </c:pt>
                <c:pt idx="1">
                  <c:v>2017</c:v>
                </c:pt>
                <c:pt idx="2">
                  <c:v>2018</c:v>
                </c:pt>
                <c:pt idx="3">
                  <c:v>2019</c:v>
                </c:pt>
                <c:pt idx="4">
                  <c:v>2020</c:v>
                </c:pt>
                <c:pt idx="5" formatCode="mmm\-yy">
                  <c:v>44348</c:v>
                </c:pt>
              </c:numCache>
            </c:numRef>
          </c:cat>
          <c:val>
            <c:numRef>
              <c:f>'Gráficos informe'!$B$55:$G$55</c:f>
              <c:numCache>
                <c:formatCode>_ * #,##0.0_ ;_ * \-#,##0.0_ ;_ * "-"_ ;_ @_ </c:formatCode>
                <c:ptCount val="6"/>
                <c:pt idx="0">
                  <c:v>2.5855933462639711</c:v>
                </c:pt>
                <c:pt idx="1">
                  <c:v>6.4217162770677412</c:v>
                </c:pt>
                <c:pt idx="2">
                  <c:v>3.5008917423561794</c:v>
                </c:pt>
                <c:pt idx="3">
                  <c:v>7.2113958008742589</c:v>
                </c:pt>
                <c:pt idx="4">
                  <c:v>6.1700657705899555</c:v>
                </c:pt>
                <c:pt idx="5">
                  <c:v>3.8595106425121752</c:v>
                </c:pt>
              </c:numCache>
            </c:numRef>
          </c:val>
          <c:smooth val="0"/>
          <c:extLst>
            <c:ext xmlns:c16="http://schemas.microsoft.com/office/drawing/2014/chart" uri="{C3380CC4-5D6E-409C-BE32-E72D297353CC}">
              <c16:uniqueId val="{00000004-A868-4D0B-A4D7-56DF03D481F8}"/>
            </c:ext>
          </c:extLst>
        </c:ser>
        <c:ser>
          <c:idx val="5"/>
          <c:order val="5"/>
          <c:tx>
            <c:strRef>
              <c:f>'Gráficos informe'!$A$53</c:f>
              <c:strCache>
                <c:ptCount val="1"/>
                <c:pt idx="0">
                  <c:v>DF / FCLP ajustado</c:v>
                </c:pt>
              </c:strCache>
            </c:strRef>
          </c:tx>
          <c:spPr>
            <a:ln w="28575" cap="rnd">
              <a:solidFill>
                <a:srgbClr val="E6344B"/>
              </a:solidFill>
              <a:round/>
            </a:ln>
            <a:effectLst/>
          </c:spPr>
          <c:marker>
            <c:symbol val="none"/>
          </c:marker>
          <c:dPt>
            <c:idx val="1"/>
            <c:marker>
              <c:symbol val="none"/>
            </c:marker>
            <c:bubble3D val="0"/>
            <c:spPr>
              <a:ln w="28575" cap="rnd">
                <a:noFill/>
                <a:round/>
              </a:ln>
              <a:effectLst/>
            </c:spPr>
            <c:extLst>
              <c:ext xmlns:c16="http://schemas.microsoft.com/office/drawing/2014/chart" uri="{C3380CC4-5D6E-409C-BE32-E72D297353CC}">
                <c16:uniqueId val="{00000006-A868-4D0B-A4D7-56DF03D481F8}"/>
              </c:ext>
            </c:extLst>
          </c:dPt>
          <c:dPt>
            <c:idx val="2"/>
            <c:marker>
              <c:symbol val="none"/>
            </c:marker>
            <c:bubble3D val="0"/>
            <c:spPr>
              <a:ln w="28575" cap="rnd">
                <a:noFill/>
                <a:round/>
              </a:ln>
              <a:effectLst/>
            </c:spPr>
            <c:extLst>
              <c:ext xmlns:c16="http://schemas.microsoft.com/office/drawing/2014/chart" uri="{C3380CC4-5D6E-409C-BE32-E72D297353CC}">
                <c16:uniqueId val="{00000008-A868-4D0B-A4D7-56DF03D481F8}"/>
              </c:ext>
            </c:extLst>
          </c:dPt>
          <c:dPt>
            <c:idx val="3"/>
            <c:marker>
              <c:symbol val="none"/>
            </c:marker>
            <c:bubble3D val="0"/>
            <c:spPr>
              <a:ln w="28575" cap="rnd">
                <a:noFill/>
                <a:round/>
              </a:ln>
              <a:effectLst/>
            </c:spPr>
            <c:extLst>
              <c:ext xmlns:c16="http://schemas.microsoft.com/office/drawing/2014/chart" uri="{C3380CC4-5D6E-409C-BE32-E72D297353CC}">
                <c16:uniqueId val="{0000000A-A868-4D0B-A4D7-56DF03D481F8}"/>
              </c:ext>
            </c:extLst>
          </c:dPt>
          <c:dPt>
            <c:idx val="4"/>
            <c:marker>
              <c:symbol val="none"/>
            </c:marker>
            <c:bubble3D val="0"/>
            <c:spPr>
              <a:ln w="28575" cap="rnd">
                <a:noFill/>
                <a:round/>
              </a:ln>
              <a:effectLst/>
            </c:spPr>
            <c:extLst>
              <c:ext xmlns:c16="http://schemas.microsoft.com/office/drawing/2014/chart" uri="{C3380CC4-5D6E-409C-BE32-E72D297353CC}">
                <c16:uniqueId val="{0000000C-A868-4D0B-A4D7-56DF03D481F8}"/>
              </c:ext>
            </c:extLst>
          </c:dPt>
          <c:dPt>
            <c:idx val="5"/>
            <c:marker>
              <c:symbol val="none"/>
            </c:marker>
            <c:bubble3D val="0"/>
            <c:spPr>
              <a:ln w="28575" cap="rnd">
                <a:solidFill>
                  <a:srgbClr val="E6344B"/>
                </a:solidFill>
                <a:prstDash val="dash"/>
                <a:round/>
              </a:ln>
              <a:effectLst/>
            </c:spPr>
            <c:extLst>
              <c:ext xmlns:c16="http://schemas.microsoft.com/office/drawing/2014/chart" uri="{C3380CC4-5D6E-409C-BE32-E72D297353CC}">
                <c16:uniqueId val="{0000000E-A868-4D0B-A4D7-56DF03D481F8}"/>
              </c:ext>
            </c:extLst>
          </c:dPt>
          <c:cat>
            <c:numRef>
              <c:f>'Gráficos informe'!$B$49:$G$49</c:f>
              <c:numCache>
                <c:formatCode>General</c:formatCode>
                <c:ptCount val="6"/>
                <c:pt idx="0">
                  <c:v>2016</c:v>
                </c:pt>
                <c:pt idx="1">
                  <c:v>2017</c:v>
                </c:pt>
                <c:pt idx="2">
                  <c:v>2018</c:v>
                </c:pt>
                <c:pt idx="3">
                  <c:v>2019</c:v>
                </c:pt>
                <c:pt idx="4">
                  <c:v>2020</c:v>
                </c:pt>
                <c:pt idx="5" formatCode="mmm\-yy">
                  <c:v>44348</c:v>
                </c:pt>
              </c:numCache>
            </c:numRef>
          </c:cat>
          <c:val>
            <c:numRef>
              <c:f>'Gráficos informe'!$B$53:$G$53</c:f>
              <c:numCache>
                <c:formatCode>_ * #,##0.0_ ;_ * \-#,##0.0_ ;_ * "-"_ ;_ @_ </c:formatCode>
                <c:ptCount val="6"/>
                <c:pt idx="0">
                  <c:v>3.5779247762996067</c:v>
                </c:pt>
                <c:pt idx="1">
                  <c:v>5.3779990462366918</c:v>
                </c:pt>
                <c:pt idx="2">
                  <c:v>4.8601138293215849</c:v>
                </c:pt>
                <c:pt idx="3">
                  <c:v>7.3767741331684666</c:v>
                </c:pt>
                <c:pt idx="4">
                  <c:v>7.5016318863757849</c:v>
                </c:pt>
                <c:pt idx="5">
                  <c:v>2.9916857568342659</c:v>
                </c:pt>
              </c:numCache>
            </c:numRef>
          </c:val>
          <c:smooth val="0"/>
          <c:extLst>
            <c:ext xmlns:c16="http://schemas.microsoft.com/office/drawing/2014/chart" uri="{C3380CC4-5D6E-409C-BE32-E72D297353CC}">
              <c16:uniqueId val="{0000000F-A868-4D0B-A4D7-56DF03D481F8}"/>
            </c:ext>
          </c:extLst>
        </c:ser>
        <c:dLbls>
          <c:showLegendKey val="0"/>
          <c:showVal val="0"/>
          <c:showCatName val="0"/>
          <c:showSerName val="0"/>
          <c:showPercent val="0"/>
          <c:showBubbleSize val="0"/>
        </c:dLbls>
        <c:marker val="1"/>
        <c:smooth val="0"/>
        <c:axId val="572398511"/>
        <c:axId val="572396015"/>
      </c:lineChart>
      <c:catAx>
        <c:axId val="44530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503030403020204" pitchFamily="34" charset="0"/>
                <a:ea typeface="+mn-ea"/>
                <a:cs typeface="+mn-cs"/>
              </a:defRPr>
            </a:pPr>
            <a:endParaRPr lang="es-CL"/>
          </a:p>
        </c:txPr>
        <c:crossAx val="445298559"/>
        <c:crosses val="autoZero"/>
        <c:auto val="1"/>
        <c:lblAlgn val="ctr"/>
        <c:lblOffset val="100"/>
        <c:noMultiLvlLbl val="0"/>
      </c:catAx>
      <c:valAx>
        <c:axId val="445298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503030403020204" pitchFamily="34" charset="0"/>
                    <a:ea typeface="+mn-ea"/>
                    <a:cs typeface="+mn-cs"/>
                  </a:defRPr>
                </a:pPr>
                <a:r>
                  <a:rPr lang="es-CL" b="0"/>
                  <a:t>M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503030403020204" pitchFamily="34" charset="0"/>
                  <a:ea typeface="+mn-ea"/>
                  <a:cs typeface="+mn-cs"/>
                </a:defRPr>
              </a:pPr>
              <a:endParaRPr lang="es-C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503030403020204" pitchFamily="34" charset="0"/>
                <a:ea typeface="+mn-ea"/>
                <a:cs typeface="+mn-cs"/>
              </a:defRPr>
            </a:pPr>
            <a:endParaRPr lang="es-CL"/>
          </a:p>
        </c:txPr>
        <c:crossAx val="445303967"/>
        <c:crosses val="autoZero"/>
        <c:crossBetween val="between"/>
      </c:valAx>
      <c:valAx>
        <c:axId val="572396015"/>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503030403020204" pitchFamily="34" charset="0"/>
                <a:ea typeface="+mn-ea"/>
                <a:cs typeface="+mn-cs"/>
              </a:defRPr>
            </a:pPr>
            <a:endParaRPr lang="es-CL"/>
          </a:p>
        </c:txPr>
        <c:crossAx val="572398511"/>
        <c:crosses val="max"/>
        <c:crossBetween val="between"/>
      </c:valAx>
      <c:catAx>
        <c:axId val="572398511"/>
        <c:scaling>
          <c:orientation val="minMax"/>
        </c:scaling>
        <c:delete val="1"/>
        <c:axPos val="b"/>
        <c:numFmt formatCode="General" sourceLinked="1"/>
        <c:majorTickMark val="out"/>
        <c:minorTickMark val="none"/>
        <c:tickLblPos val="nextTo"/>
        <c:crossAx val="57239601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yriad Pro" panose="020B0503030403020204" pitchFamily="34" charset="0"/>
        </a:defRPr>
      </a:pPr>
      <a:endParaRPr lang="es-C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2"/>
          <c:tx>
            <c:strRef>
              <c:f>'Perfil de vencimientos'!$L$66</c:f>
              <c:strCache>
                <c:ptCount val="1"/>
                <c:pt idx="0">
                  <c:v>Amortización</c:v>
                </c:pt>
              </c:strCache>
            </c:strRef>
          </c:tx>
          <c:spPr>
            <a:solidFill>
              <a:srgbClr val="333D6B"/>
            </a:solidFill>
            <a:ln>
              <a:noFill/>
            </a:ln>
            <a:effectLst/>
          </c:spPr>
          <c:invertIfNegative val="0"/>
          <c:cat>
            <c:numRef>
              <c:f>'Perfil de vencimientos'!$A$67:$A$72</c:f>
              <c:numCache>
                <c:formatCode>General</c:formatCode>
                <c:ptCount val="6"/>
                <c:pt idx="0">
                  <c:v>2021</c:v>
                </c:pt>
                <c:pt idx="1">
                  <c:v>2022</c:v>
                </c:pt>
                <c:pt idx="2">
                  <c:v>2023</c:v>
                </c:pt>
                <c:pt idx="3">
                  <c:v>2024</c:v>
                </c:pt>
                <c:pt idx="4">
                  <c:v>2025</c:v>
                </c:pt>
                <c:pt idx="5">
                  <c:v>2026</c:v>
                </c:pt>
              </c:numCache>
            </c:numRef>
          </c:cat>
          <c:val>
            <c:numRef>
              <c:f>'Perfil de vencimientos'!$L$67:$L$72</c:f>
              <c:numCache>
                <c:formatCode>#,##0_ ;[Red]\-#,##0\ </c:formatCode>
                <c:ptCount val="6"/>
                <c:pt idx="0">
                  <c:v>1998.5836513743996</c:v>
                </c:pt>
                <c:pt idx="1">
                  <c:v>3895.0117935480007</c:v>
                </c:pt>
                <c:pt idx="2">
                  <c:v>5320.4254976215998</c:v>
                </c:pt>
                <c:pt idx="3">
                  <c:v>1041.3806319999999</c:v>
                </c:pt>
                <c:pt idx="4">
                  <c:v>197.94045499999999</c:v>
                </c:pt>
                <c:pt idx="5">
                  <c:v>30194.06</c:v>
                </c:pt>
              </c:numCache>
            </c:numRef>
          </c:val>
          <c:extLst>
            <c:ext xmlns:c16="http://schemas.microsoft.com/office/drawing/2014/chart" uri="{C3380CC4-5D6E-409C-BE32-E72D297353CC}">
              <c16:uniqueId val="{00000000-D381-4327-91AB-413533596326}"/>
            </c:ext>
          </c:extLst>
        </c:ser>
        <c:ser>
          <c:idx val="4"/>
          <c:order val="3"/>
          <c:tx>
            <c:strRef>
              <c:f>'Perfil de vencimientos'!$M$66</c:f>
              <c:strCache>
                <c:ptCount val="1"/>
                <c:pt idx="0">
                  <c:v>Intereses</c:v>
                </c:pt>
              </c:strCache>
            </c:strRef>
          </c:tx>
          <c:spPr>
            <a:solidFill>
              <a:srgbClr val="AE1619"/>
            </a:solidFill>
            <a:ln>
              <a:noFill/>
            </a:ln>
            <a:effectLst/>
          </c:spPr>
          <c:invertIfNegative val="0"/>
          <c:cat>
            <c:numRef>
              <c:f>'Perfil de vencimientos'!$A$67:$A$72</c:f>
              <c:numCache>
                <c:formatCode>General</c:formatCode>
                <c:ptCount val="6"/>
                <c:pt idx="0">
                  <c:v>2021</c:v>
                </c:pt>
                <c:pt idx="1">
                  <c:v>2022</c:v>
                </c:pt>
                <c:pt idx="2">
                  <c:v>2023</c:v>
                </c:pt>
                <c:pt idx="3">
                  <c:v>2024</c:v>
                </c:pt>
                <c:pt idx="4">
                  <c:v>2025</c:v>
                </c:pt>
                <c:pt idx="5">
                  <c:v>2026</c:v>
                </c:pt>
              </c:numCache>
            </c:numRef>
          </c:cat>
          <c:val>
            <c:numRef>
              <c:f>'Perfil de vencimientos'!$M$67:$M$72</c:f>
              <c:numCache>
                <c:formatCode>_(* #,##0_);_(* \(#,##0\);_(* "-"_);_(@_)</c:formatCode>
                <c:ptCount val="6"/>
                <c:pt idx="0">
                  <c:v>277.34999239040002</c:v>
                </c:pt>
                <c:pt idx="1">
                  <c:v>1550.3301727416001</c:v>
                </c:pt>
                <c:pt idx="2">
                  <c:v>1315.9120047240001</c:v>
                </c:pt>
                <c:pt idx="3">
                  <c:v>1161.28474276</c:v>
                </c:pt>
                <c:pt idx="4">
                  <c:v>1137.64703676</c:v>
                </c:pt>
                <c:pt idx="5">
                  <c:v>1136.68558276</c:v>
                </c:pt>
              </c:numCache>
            </c:numRef>
          </c:val>
          <c:extLst>
            <c:ext xmlns:c16="http://schemas.microsoft.com/office/drawing/2014/chart" uri="{C3380CC4-5D6E-409C-BE32-E72D297353CC}">
              <c16:uniqueId val="{00000001-D381-4327-91AB-413533596326}"/>
            </c:ext>
          </c:extLst>
        </c:ser>
        <c:dLbls>
          <c:showLegendKey val="0"/>
          <c:showVal val="0"/>
          <c:showCatName val="0"/>
          <c:showSerName val="0"/>
          <c:showPercent val="0"/>
          <c:showBubbleSize val="0"/>
        </c:dLbls>
        <c:gapWidth val="150"/>
        <c:overlap val="100"/>
        <c:axId val="747484159"/>
        <c:axId val="747465439"/>
      </c:barChart>
      <c:lineChart>
        <c:grouping val="standard"/>
        <c:varyColors val="0"/>
        <c:ser>
          <c:idx val="0"/>
          <c:order val="0"/>
          <c:tx>
            <c:strRef>
              <c:f>'Perfil de vencimientos'!$I$66</c:f>
              <c:strCache>
                <c:ptCount val="1"/>
                <c:pt idx="0">
                  <c:v>EBITDA jun 2021 (UDM)</c:v>
                </c:pt>
              </c:strCache>
            </c:strRef>
          </c:tx>
          <c:spPr>
            <a:ln w="28575" cap="rnd">
              <a:solidFill>
                <a:srgbClr val="F8DC3B"/>
              </a:solidFill>
              <a:round/>
            </a:ln>
            <a:effectLst/>
          </c:spPr>
          <c:marker>
            <c:symbol val="none"/>
          </c:marker>
          <c:cat>
            <c:numRef>
              <c:f>'Perfil de vencimientos'!$A$67:$A$72</c:f>
              <c:numCache>
                <c:formatCode>General</c:formatCode>
                <c:ptCount val="6"/>
                <c:pt idx="0">
                  <c:v>2021</c:v>
                </c:pt>
                <c:pt idx="1">
                  <c:v>2022</c:v>
                </c:pt>
                <c:pt idx="2">
                  <c:v>2023</c:v>
                </c:pt>
                <c:pt idx="3">
                  <c:v>2024</c:v>
                </c:pt>
                <c:pt idx="4">
                  <c:v>2025</c:v>
                </c:pt>
                <c:pt idx="5">
                  <c:v>2026</c:v>
                </c:pt>
              </c:numCache>
            </c:numRef>
          </c:cat>
          <c:val>
            <c:numRef>
              <c:f>'Perfil de vencimientos'!$I$67:$I$72</c:f>
              <c:numCache>
                <c:formatCode>_(* #,##0_);_(* \(#,##0\);_(* "-"_);_(@_)</c:formatCode>
                <c:ptCount val="6"/>
                <c:pt idx="0">
                  <c:v>18908.890468170201</c:v>
                </c:pt>
                <c:pt idx="1">
                  <c:v>18908.890468170201</c:v>
                </c:pt>
                <c:pt idx="2">
                  <c:v>18908.890468170201</c:v>
                </c:pt>
                <c:pt idx="3">
                  <c:v>18908.890468170201</c:v>
                </c:pt>
                <c:pt idx="4">
                  <c:v>18908.890468170201</c:v>
                </c:pt>
                <c:pt idx="5">
                  <c:v>18908.890468170201</c:v>
                </c:pt>
              </c:numCache>
            </c:numRef>
          </c:val>
          <c:smooth val="0"/>
          <c:extLst>
            <c:ext xmlns:c16="http://schemas.microsoft.com/office/drawing/2014/chart" uri="{C3380CC4-5D6E-409C-BE32-E72D297353CC}">
              <c16:uniqueId val="{00000002-D381-4327-91AB-413533596326}"/>
            </c:ext>
          </c:extLst>
        </c:ser>
        <c:ser>
          <c:idx val="2"/>
          <c:order val="1"/>
          <c:tx>
            <c:strRef>
              <c:f>'Perfil de vencimientos'!$K$66</c:f>
              <c:strCache>
                <c:ptCount val="1"/>
                <c:pt idx="0">
                  <c:v>FCLP jun 2021 (UDM)</c:v>
                </c:pt>
              </c:strCache>
            </c:strRef>
          </c:tx>
          <c:spPr>
            <a:ln w="28575" cap="rnd">
              <a:solidFill>
                <a:srgbClr val="878787"/>
              </a:solidFill>
              <a:round/>
            </a:ln>
            <a:effectLst/>
          </c:spPr>
          <c:marker>
            <c:symbol val="none"/>
          </c:marker>
          <c:cat>
            <c:numRef>
              <c:f>'Perfil de vencimientos'!$A$67:$A$72</c:f>
              <c:numCache>
                <c:formatCode>General</c:formatCode>
                <c:ptCount val="6"/>
                <c:pt idx="0">
                  <c:v>2021</c:v>
                </c:pt>
                <c:pt idx="1">
                  <c:v>2022</c:v>
                </c:pt>
                <c:pt idx="2">
                  <c:v>2023</c:v>
                </c:pt>
                <c:pt idx="3">
                  <c:v>2024</c:v>
                </c:pt>
                <c:pt idx="4">
                  <c:v>2025</c:v>
                </c:pt>
                <c:pt idx="5">
                  <c:v>2026</c:v>
                </c:pt>
              </c:numCache>
            </c:numRef>
          </c:cat>
          <c:val>
            <c:numRef>
              <c:f>'Perfil de vencimientos'!$K$67:$K$72</c:f>
              <c:numCache>
                <c:formatCode>_(* #,##0_);_(* \(#,##0\);_(* "-"_);_(@_)</c:formatCode>
                <c:ptCount val="6"/>
                <c:pt idx="0">
                  <c:v>10389.572285530699</c:v>
                </c:pt>
                <c:pt idx="1">
                  <c:v>10389.572285530699</c:v>
                </c:pt>
                <c:pt idx="2">
                  <c:v>10389.572285530699</c:v>
                </c:pt>
                <c:pt idx="3">
                  <c:v>10389.572285530699</c:v>
                </c:pt>
                <c:pt idx="4">
                  <c:v>10389.572285530699</c:v>
                </c:pt>
                <c:pt idx="5">
                  <c:v>10389.572285530699</c:v>
                </c:pt>
              </c:numCache>
            </c:numRef>
          </c:val>
          <c:smooth val="0"/>
          <c:extLst>
            <c:ext xmlns:c16="http://schemas.microsoft.com/office/drawing/2014/chart" uri="{C3380CC4-5D6E-409C-BE32-E72D297353CC}">
              <c16:uniqueId val="{00000003-D381-4327-91AB-413533596326}"/>
            </c:ext>
          </c:extLst>
        </c:ser>
        <c:dLbls>
          <c:showLegendKey val="0"/>
          <c:showVal val="0"/>
          <c:showCatName val="0"/>
          <c:showSerName val="0"/>
          <c:showPercent val="0"/>
          <c:showBubbleSize val="0"/>
        </c:dLbls>
        <c:marker val="1"/>
        <c:smooth val="0"/>
        <c:axId val="747484159"/>
        <c:axId val="747465439"/>
      </c:lineChart>
      <c:catAx>
        <c:axId val="74748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crossAx val="747465439"/>
        <c:crosses val="autoZero"/>
        <c:auto val="1"/>
        <c:lblAlgn val="ctr"/>
        <c:lblOffset val="100"/>
        <c:noMultiLvlLbl val="0"/>
      </c:catAx>
      <c:valAx>
        <c:axId val="747465439"/>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crossAx val="747484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legend>
    <c:plotVisOnly val="1"/>
    <c:dispBlanksAs val="gap"/>
    <c:showDLblsOverMax val="0"/>
  </c:chart>
  <c:spPr>
    <a:solidFill>
      <a:schemeClr val="bg1"/>
    </a:solidFill>
    <a:ln w="9525" cap="flat" cmpd="sng" algn="ctr">
      <a:noFill/>
      <a:round/>
    </a:ln>
    <a:effectLst/>
  </c:spPr>
  <c:txPr>
    <a:bodyPr/>
    <a:lstStyle/>
    <a:p>
      <a:pPr>
        <a:defRPr sz="800">
          <a:solidFill>
            <a:srgbClr val="333D6B"/>
          </a:solidFill>
          <a:latin typeface="Myriad Pro" panose="020B0503030403020204" pitchFamily="34" charset="0"/>
        </a:defRPr>
      </a:pPr>
      <a:endParaRPr lang="es-C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'Gráficos informe'!$A$79</c:f>
              <c:strCache>
                <c:ptCount val="1"/>
                <c:pt idx="0">
                  <c:v>Razón Circulante MK</c:v>
                </c:pt>
              </c:strCache>
            </c:strRef>
          </c:tx>
          <c:spPr>
            <a:ln w="28575" cap="rnd">
              <a:solidFill>
                <a:srgbClr val="284675"/>
              </a:solidFill>
              <a:round/>
            </a:ln>
            <a:effectLst/>
          </c:spPr>
          <c:marker>
            <c:symbol val="none"/>
          </c:marker>
          <c:cat>
            <c:numRef>
              <c:f>'Gráficos informe'!$B$26:$G$26</c:f>
              <c:numCache>
                <c:formatCode>General</c:formatCode>
                <c:ptCount val="6"/>
                <c:pt idx="0">
                  <c:v>2016</c:v>
                </c:pt>
                <c:pt idx="1">
                  <c:v>2017</c:v>
                </c:pt>
                <c:pt idx="2">
                  <c:v>2018</c:v>
                </c:pt>
                <c:pt idx="3">
                  <c:v>2019</c:v>
                </c:pt>
                <c:pt idx="4">
                  <c:v>2020</c:v>
                </c:pt>
                <c:pt idx="5" formatCode="mmm\-yy">
                  <c:v>44348</c:v>
                </c:pt>
              </c:numCache>
            </c:numRef>
          </c:cat>
          <c:val>
            <c:numRef>
              <c:f>'Gráficos informe'!$B$79:$G$79</c:f>
              <c:numCache>
                <c:formatCode>0.00</c:formatCode>
                <c:ptCount val="6"/>
                <c:pt idx="0">
                  <c:v>1.6476810349282893</c:v>
                </c:pt>
                <c:pt idx="1">
                  <c:v>1.5659300161186807</c:v>
                </c:pt>
                <c:pt idx="2">
                  <c:v>1.5714317754430596</c:v>
                </c:pt>
                <c:pt idx="3">
                  <c:v>1.5497653239647329</c:v>
                </c:pt>
                <c:pt idx="4">
                  <c:v>1.4793942825159265</c:v>
                </c:pt>
                <c:pt idx="5">
                  <c:v>1.3314936395891106</c:v>
                </c:pt>
              </c:numCache>
            </c:numRef>
          </c:val>
          <c:smooth val="0"/>
          <c:extLst>
            <c:ext xmlns:c16="http://schemas.microsoft.com/office/drawing/2014/chart" uri="{C3380CC4-5D6E-409C-BE32-E72D297353CC}">
              <c16:uniqueId val="{00000000-B297-4FBE-B68D-8DF6411120A8}"/>
            </c:ext>
          </c:extLst>
        </c:ser>
        <c:dLbls>
          <c:showLegendKey val="0"/>
          <c:showVal val="0"/>
          <c:showCatName val="0"/>
          <c:showSerName val="0"/>
          <c:showPercent val="0"/>
          <c:showBubbleSize val="0"/>
        </c:dLbls>
        <c:smooth val="0"/>
        <c:axId val="445303967"/>
        <c:axId val="445298559"/>
      </c:lineChart>
      <c:catAx>
        <c:axId val="44530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445298559"/>
        <c:crosses val="autoZero"/>
        <c:auto val="1"/>
        <c:lblAlgn val="ctr"/>
        <c:lblOffset val="100"/>
        <c:noMultiLvlLbl val="0"/>
      </c:catAx>
      <c:valAx>
        <c:axId val="44529855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crossAx val="44530396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84675"/>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284675"/>
          </a:solidFill>
          <a:latin typeface="Myriad Pro" panose="020B0503030403020204" pitchFamily="34" charset="0"/>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9E0905DB7D4E84E80456A9A86E9113E" ma:contentTypeVersion="13" ma:contentTypeDescription="Crear nuevo documento." ma:contentTypeScope="" ma:versionID="6448241c1acdda73d555b0420c71c354">
  <xsd:schema xmlns:xsd="http://www.w3.org/2001/XMLSchema" xmlns:xs="http://www.w3.org/2001/XMLSchema" xmlns:p="http://schemas.microsoft.com/office/2006/metadata/properties" xmlns:ns2="062e06a3-a47a-4d74-ab6e-dc8498fe9bfc" xmlns:ns3="29e16e2b-536e-4ba6-8b65-f83ed8ecd0d0" targetNamespace="http://schemas.microsoft.com/office/2006/metadata/properties" ma:root="true" ma:fieldsID="947bdc323d4dc6e20847cfef4bb1ae54" ns2:_="" ns3:_="">
    <xsd:import namespace="062e06a3-a47a-4d74-ab6e-dc8498fe9bfc"/>
    <xsd:import namespace="29e16e2b-536e-4ba6-8b65-f83ed8ecd0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e06a3-a47a-4d74-ab6e-dc8498fe9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e16e2b-536e-4ba6-8b65-f83ed8ecd0d0"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BDDA3-D744-5842-8BF0-CD2BFCE4E29D}">
  <ds:schemaRefs>
    <ds:schemaRef ds:uri="http://schemas.openxmlformats.org/officeDocument/2006/bibliography"/>
  </ds:schemaRefs>
</ds:datastoreItem>
</file>

<file path=customXml/itemProps2.xml><?xml version="1.0" encoding="utf-8"?>
<ds:datastoreItem xmlns:ds="http://schemas.openxmlformats.org/officeDocument/2006/customXml" ds:itemID="{20DFC8F4-8C28-408A-B0F6-691878768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e06a3-a47a-4d74-ab6e-dc8498fe9bfc"/>
    <ds:schemaRef ds:uri="29e16e2b-536e-4ba6-8b65-f83ed8ecd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2305B9-7641-4FBC-A2BF-78C2E24EE3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6EABF5-61BE-4FF4-A144-7009DD10F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 Informe_2</Template>
  <TotalTime>66</TotalTime>
  <Pages>20</Pages>
  <Words>5307</Words>
  <Characters>29194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Vaccaro</dc:creator>
  <cp:keywords/>
  <dc:description/>
  <cp:lastModifiedBy>Humphreys - Clasificadora de Riesgo</cp:lastModifiedBy>
  <cp:revision>11</cp:revision>
  <cp:lastPrinted>2021-12-31T21:03:00Z</cp:lastPrinted>
  <dcterms:created xsi:type="dcterms:W3CDTF">2021-12-30T13:56:00Z</dcterms:created>
  <dcterms:modified xsi:type="dcterms:W3CDTF">2021-12-31T21:07:00Z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0x01010049E0905DB7D4E84E80456A9A86E9113E</vt:lpwstr>
  </property>
</Properties>
</file>